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FC78D" w14:textId="7FA441FA" w:rsidR="00A71E35" w:rsidRPr="00FB5968" w:rsidRDefault="00A71E35" w:rsidP="00A71E35">
      <w:pPr>
        <w:tabs>
          <w:tab w:val="center" w:pos="4536"/>
          <w:tab w:val="right" w:pos="8280"/>
          <w:tab w:val="right" w:pos="9639"/>
        </w:tabs>
        <w:ind w:right="2"/>
        <w:rPr>
          <w:rFonts w:ascii="Arial" w:hAnsi="Arial" w:cs="Arial"/>
          <w:b/>
          <w:bCs/>
          <w:sz w:val="28"/>
          <w:lang w:val="en-US"/>
        </w:rPr>
      </w:pPr>
      <w:r>
        <w:rPr>
          <w:rFonts w:ascii="Arial" w:hAnsi="Arial" w:cs="Arial"/>
          <w:b/>
          <w:bCs/>
          <w:sz w:val="28"/>
        </w:rPr>
        <w:t>3GPP TSG RAN WG1 #98</w:t>
      </w:r>
      <w:r>
        <w:rPr>
          <w:rFonts w:ascii="Arial" w:hAnsi="Arial" w:cs="Arial"/>
          <w:b/>
          <w:bCs/>
          <w:sz w:val="28"/>
        </w:rPr>
        <w:tab/>
      </w:r>
      <w:r>
        <w:rPr>
          <w:rFonts w:ascii="Arial" w:hAnsi="Arial" w:cs="Arial"/>
          <w:b/>
          <w:bCs/>
          <w:sz w:val="28"/>
        </w:rPr>
        <w:tab/>
      </w:r>
      <w:r w:rsidR="00FB5968" w:rsidRPr="00FB5968">
        <w:rPr>
          <w:rFonts w:ascii="Arial" w:hAnsi="Arial" w:cs="Arial"/>
          <w:b/>
          <w:bCs/>
          <w:sz w:val="28"/>
        </w:rPr>
        <w:t>R1-1908830</w:t>
      </w:r>
    </w:p>
    <w:p w14:paraId="56874370" w14:textId="77777777" w:rsidR="00A71E35" w:rsidRDefault="00A71E35" w:rsidP="00A71E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5A7C59C" w14:textId="77777777" w:rsidR="00D64908" w:rsidRPr="00CC27F5" w:rsidRDefault="00D64908" w:rsidP="00424654">
      <w:pPr>
        <w:pStyle w:val="Header"/>
        <w:tabs>
          <w:tab w:val="right" w:pos="9639"/>
        </w:tabs>
        <w:jc w:val="both"/>
        <w:rPr>
          <w:i/>
          <w:sz w:val="32"/>
          <w:lang w:val="en-GB"/>
        </w:rPr>
      </w:pPr>
      <w:r w:rsidRPr="00CC27F5">
        <w:rPr>
          <w:sz w:val="24"/>
          <w:lang w:val="en-GB"/>
        </w:rPr>
        <w:tab/>
      </w:r>
    </w:p>
    <w:p w14:paraId="2054D09C"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2.1.</w:t>
      </w:r>
      <w:r w:rsidR="00056AF3">
        <w:rPr>
          <w:rFonts w:ascii="Arial" w:hAnsi="Arial"/>
          <w:sz w:val="24"/>
        </w:rPr>
        <w:t>6</w:t>
      </w:r>
    </w:p>
    <w:p w14:paraId="70D3A977"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03192E4C" w14:textId="7777777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56AF3">
        <w:rPr>
          <w:rFonts w:ascii="Arial" w:hAnsi="Arial"/>
          <w:sz w:val="24"/>
        </w:rPr>
        <w:t>Usage of CRS for MPDCCH</w:t>
      </w:r>
    </w:p>
    <w:p w14:paraId="7811DB05"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600C3E9C" w14:textId="77777777" w:rsidR="003B6EE7" w:rsidRPr="00CC27F5" w:rsidRDefault="003B6EE7" w:rsidP="00D64908">
      <w:pPr>
        <w:tabs>
          <w:tab w:val="left" w:pos="1985"/>
        </w:tabs>
        <w:ind w:right="-441"/>
        <w:jc w:val="both"/>
        <w:rPr>
          <w:rFonts w:ascii="Arial" w:hAnsi="Arial"/>
          <w:sz w:val="24"/>
          <w:lang w:eastAsia="zh-CN"/>
        </w:rPr>
      </w:pPr>
    </w:p>
    <w:p w14:paraId="50CAD7E3" w14:textId="77777777" w:rsidR="00D64908" w:rsidRDefault="003B6EE7" w:rsidP="00D64908">
      <w:pPr>
        <w:pStyle w:val="Heading1"/>
        <w:numPr>
          <w:ilvl w:val="0"/>
          <w:numId w:val="1"/>
        </w:numPr>
        <w:tabs>
          <w:tab w:val="clear" w:pos="1140"/>
          <w:tab w:val="num" w:pos="720"/>
        </w:tabs>
        <w:ind w:left="720" w:hanging="720"/>
        <w:jc w:val="both"/>
      </w:pPr>
      <w:r>
        <w:t>Introduction</w:t>
      </w:r>
    </w:p>
    <w:p w14:paraId="10C90AEA" w14:textId="77777777" w:rsidR="003B6EE7" w:rsidRDefault="003B6EE7" w:rsidP="003B6EE7">
      <w:r>
        <w:t>In RAN#80, a new work item on MTC enhancements was approved (</w:t>
      </w:r>
      <w:r w:rsidR="00553831" w:rsidRPr="00553831">
        <w:t>RP-181450</w:t>
      </w:r>
      <w:r>
        <w:t>) with the following objective:</w:t>
      </w:r>
    </w:p>
    <w:p w14:paraId="0BB4789F" w14:textId="77777777" w:rsidR="003B6EE7" w:rsidRPr="003619C0" w:rsidRDefault="003B6EE7" w:rsidP="003B6EE7">
      <w:pPr>
        <w:spacing w:after="0"/>
        <w:rPr>
          <w:b/>
          <w:bCs/>
        </w:rPr>
      </w:pPr>
      <w:r w:rsidRPr="003619C0">
        <w:rPr>
          <w:b/>
          <w:bCs/>
        </w:rPr>
        <w:t>Scheduling enhancement:</w:t>
      </w:r>
    </w:p>
    <w:p w14:paraId="2584156C" w14:textId="77777777" w:rsidR="00056AF3" w:rsidRDefault="00056AF3" w:rsidP="00056AF3">
      <w:pPr>
        <w:numPr>
          <w:ilvl w:val="0"/>
          <w:numId w:val="5"/>
        </w:numPr>
        <w:spacing w:after="0"/>
        <w:rPr>
          <w:bCs/>
        </w:rPr>
      </w:pPr>
      <w:r w:rsidRPr="003619C0">
        <w:rPr>
          <w:bCs/>
        </w:rPr>
        <w:t>Specify MPDCCH performance improvement by using CRS at least for connected mode [RAN1, RAN2, RAN4]</w:t>
      </w:r>
    </w:p>
    <w:p w14:paraId="5736A9C6" w14:textId="77777777" w:rsidR="00061369" w:rsidRDefault="00061369" w:rsidP="00061369">
      <w:pPr>
        <w:spacing w:after="0"/>
        <w:rPr>
          <w:bCs/>
        </w:rPr>
      </w:pPr>
    </w:p>
    <w:p w14:paraId="671BED17" w14:textId="77777777" w:rsidR="00061369" w:rsidRDefault="00061369" w:rsidP="00061369">
      <w:pPr>
        <w:spacing w:after="0"/>
        <w:rPr>
          <w:bCs/>
        </w:rPr>
      </w:pPr>
      <w:r>
        <w:rPr>
          <w:bCs/>
        </w:rPr>
        <w:t xml:space="preserve">In </w:t>
      </w:r>
      <w:r w:rsidR="008304D8">
        <w:rPr>
          <w:bCs/>
        </w:rPr>
        <w:t xml:space="preserve">the previous meetings, </w:t>
      </w:r>
      <w:r>
        <w:rPr>
          <w:bCs/>
        </w:rPr>
        <w:t xml:space="preserve">the following </w:t>
      </w:r>
      <w:r w:rsidR="008304D8">
        <w:rPr>
          <w:bCs/>
        </w:rPr>
        <w:t>agreements were reached</w:t>
      </w:r>
      <w:r>
        <w:rPr>
          <w:bCs/>
        </w:rPr>
        <w:t>:</w:t>
      </w:r>
    </w:p>
    <w:p w14:paraId="3563753B" w14:textId="5944EEFE" w:rsidR="00061369" w:rsidRDefault="00061369" w:rsidP="00061369">
      <w:pPr>
        <w:spacing w:after="0"/>
        <w:rPr>
          <w:bCs/>
        </w:rPr>
      </w:pPr>
    </w:p>
    <w:p w14:paraId="1A5A309A" w14:textId="77777777" w:rsidR="00531B90" w:rsidRPr="00B72C3F" w:rsidRDefault="00531B90" w:rsidP="00531B90">
      <w:pPr>
        <w:rPr>
          <w:b/>
          <w:highlight w:val="green"/>
        </w:rPr>
      </w:pPr>
      <w:r w:rsidRPr="00B72C3F">
        <w:rPr>
          <w:b/>
          <w:highlight w:val="green"/>
        </w:rPr>
        <w:t>Agreement</w:t>
      </w:r>
    </w:p>
    <w:p w14:paraId="110752FF" w14:textId="77777777" w:rsidR="00531B90" w:rsidRPr="00B72C3F" w:rsidRDefault="00531B90" w:rsidP="00531B90">
      <w:r w:rsidRPr="00B72C3F">
        <w:t>When CSI-based precoding is configured, use predefined precoding cycling as the fallback mechanisms.</w:t>
      </w:r>
    </w:p>
    <w:p w14:paraId="6107CC50" w14:textId="77777777" w:rsidR="00531B90" w:rsidRPr="00974DEB" w:rsidRDefault="00531B90" w:rsidP="00531B90">
      <w:pPr>
        <w:numPr>
          <w:ilvl w:val="0"/>
          <w:numId w:val="21"/>
        </w:numPr>
      </w:pPr>
      <w:r w:rsidRPr="00974DEB">
        <w:t>FFS: Details on fallback mechanism</w:t>
      </w:r>
    </w:p>
    <w:p w14:paraId="03360470" w14:textId="77777777" w:rsidR="00531B90" w:rsidRDefault="00531B90" w:rsidP="00531B90"/>
    <w:p w14:paraId="4A54FB54" w14:textId="77777777" w:rsidR="00531B90" w:rsidRPr="003B5E55" w:rsidRDefault="00531B90" w:rsidP="00531B90">
      <w:pPr>
        <w:rPr>
          <w:b/>
          <w:bCs/>
          <w:szCs w:val="22"/>
          <w:highlight w:val="green"/>
        </w:rPr>
      </w:pPr>
      <w:r w:rsidRPr="003B5E55">
        <w:rPr>
          <w:b/>
          <w:bCs/>
          <w:szCs w:val="22"/>
          <w:highlight w:val="green"/>
        </w:rPr>
        <w:t>Agreement</w:t>
      </w:r>
    </w:p>
    <w:p w14:paraId="393A99AA" w14:textId="77777777" w:rsidR="00531B90" w:rsidRPr="003B5E55" w:rsidRDefault="00531B90" w:rsidP="00531B90">
      <w:pPr>
        <w:rPr>
          <w:bCs/>
          <w:szCs w:val="22"/>
        </w:rPr>
      </w:pPr>
      <w:r w:rsidRPr="003B5E55">
        <w:rPr>
          <w:bCs/>
          <w:szCs w:val="22"/>
        </w:rPr>
        <w:t xml:space="preserve">For precoder cycling for distributed MPDCCH, select </w:t>
      </w:r>
      <w:r w:rsidRPr="003B5E55">
        <w:rPr>
          <w:rFonts w:hint="eastAsia"/>
          <w:bCs/>
          <w:szCs w:val="22"/>
        </w:rPr>
        <w:t>one</w:t>
      </w:r>
      <w:r w:rsidRPr="003B5E55">
        <w:rPr>
          <w:bCs/>
          <w:szCs w:val="22"/>
        </w:rPr>
        <w:t xml:space="preserve"> options for precoding in RAN1#98</w:t>
      </w:r>
    </w:p>
    <w:p w14:paraId="1825D891" w14:textId="77777777" w:rsidR="00531B90" w:rsidRPr="00974DEB" w:rsidRDefault="00531B90" w:rsidP="00531B90">
      <w:pPr>
        <w:numPr>
          <w:ilvl w:val="0"/>
          <w:numId w:val="21"/>
        </w:numPr>
      </w:pPr>
      <w:r w:rsidRPr="00974DEB">
        <w:t>Option 1: Based on rank-1 precoders</w:t>
      </w:r>
    </w:p>
    <w:p w14:paraId="7EF1E2ED" w14:textId="77777777" w:rsidR="00531B90" w:rsidRPr="00974DEB" w:rsidRDefault="00531B90" w:rsidP="00531B90">
      <w:pPr>
        <w:numPr>
          <w:ilvl w:val="0"/>
          <w:numId w:val="21"/>
        </w:numPr>
      </w:pPr>
      <w:r w:rsidRPr="00974DEB">
        <w:t>Option 2: Based on rank-2 precoders</w:t>
      </w:r>
    </w:p>
    <w:p w14:paraId="209B9D67" w14:textId="77777777" w:rsidR="00531B90" w:rsidRDefault="00531B90" w:rsidP="00531B90">
      <w:r>
        <w:t>Companies are encouraged to submit simulation results.</w:t>
      </w:r>
    </w:p>
    <w:p w14:paraId="450B9983" w14:textId="77777777" w:rsidR="00531B90" w:rsidRPr="003B5E55" w:rsidRDefault="00531B90" w:rsidP="00531B90">
      <w:pPr>
        <w:rPr>
          <w:b/>
          <w:bCs/>
          <w:szCs w:val="22"/>
          <w:highlight w:val="green"/>
        </w:rPr>
      </w:pPr>
      <w:r w:rsidRPr="003B5E55">
        <w:rPr>
          <w:b/>
          <w:bCs/>
          <w:szCs w:val="22"/>
          <w:highlight w:val="green"/>
        </w:rPr>
        <w:t>Agreement</w:t>
      </w:r>
    </w:p>
    <w:p w14:paraId="690D228F" w14:textId="77777777" w:rsidR="00531B90" w:rsidRPr="00EC666F" w:rsidRDefault="00531B90" w:rsidP="00531B90">
      <w:pPr>
        <w:rPr>
          <w:sz w:val="18"/>
        </w:rPr>
      </w:pPr>
      <w:r w:rsidRPr="00EC666F">
        <w:rPr>
          <w:rFonts w:hint="eastAsia"/>
          <w:bCs/>
          <w:szCs w:val="22"/>
        </w:rPr>
        <w:t>P</w:t>
      </w:r>
      <w:r w:rsidRPr="00EC666F">
        <w:rPr>
          <w:bCs/>
          <w:szCs w:val="22"/>
        </w:rPr>
        <w:t xml:space="preserve">recoders with indices </w:t>
      </w:r>
      <w:r w:rsidRPr="00EC666F">
        <w:rPr>
          <w:rFonts w:eastAsia="Malgun Gothic" w:hint="eastAsia"/>
          <w:bCs/>
          <w:szCs w:val="22"/>
          <w:lang w:eastAsia="zh-CN"/>
        </w:rPr>
        <w:t>0</w:t>
      </w:r>
      <w:r w:rsidRPr="00EC666F">
        <w:rPr>
          <w:bCs/>
          <w:szCs w:val="22"/>
        </w:rPr>
        <w:t xml:space="preserve">, 1 </w:t>
      </w:r>
      <w:r w:rsidRPr="00EC666F">
        <w:rPr>
          <w:rFonts w:hint="eastAsia"/>
          <w:bCs/>
          <w:szCs w:val="22"/>
        </w:rPr>
        <w:t>consist of</w:t>
      </w:r>
      <w:r w:rsidRPr="00EC666F">
        <w:rPr>
          <w:bCs/>
          <w:szCs w:val="22"/>
        </w:rPr>
        <w:t xml:space="preserve"> </w:t>
      </w:r>
      <w:r w:rsidRPr="00EC666F">
        <w:rPr>
          <w:rFonts w:hint="eastAsia"/>
          <w:bCs/>
          <w:szCs w:val="22"/>
        </w:rPr>
        <w:t xml:space="preserve">the </w:t>
      </w:r>
      <w:r w:rsidRPr="00EC666F">
        <w:rPr>
          <w:bCs/>
          <w:szCs w:val="22"/>
        </w:rPr>
        <w:t xml:space="preserve">precoder set for </w:t>
      </w:r>
      <w:r w:rsidRPr="00EC666F">
        <w:rPr>
          <w:rFonts w:eastAsia="Malgun Gothic" w:hint="eastAsia"/>
          <w:bCs/>
          <w:szCs w:val="22"/>
          <w:lang w:eastAsia="zh-CN"/>
        </w:rPr>
        <w:t>2</w:t>
      </w:r>
      <w:r w:rsidRPr="00EC666F">
        <w:rPr>
          <w:bCs/>
          <w:szCs w:val="22"/>
        </w:rPr>
        <w:t>Tx</w:t>
      </w:r>
    </w:p>
    <w:p w14:paraId="1CD9C2C9" w14:textId="77777777" w:rsidR="00531B90" w:rsidRPr="00D416CA" w:rsidRDefault="00531B90" w:rsidP="00531B90">
      <w:pPr>
        <w:rPr>
          <w:b/>
          <w:highlight w:val="green"/>
        </w:rPr>
      </w:pPr>
      <w:r w:rsidRPr="00D416CA">
        <w:rPr>
          <w:b/>
          <w:highlight w:val="green"/>
        </w:rPr>
        <w:t>Agreement</w:t>
      </w:r>
    </w:p>
    <w:p w14:paraId="69124ED1" w14:textId="77777777" w:rsidR="00531B90" w:rsidRPr="000C74A5" w:rsidRDefault="00531B90" w:rsidP="00531B90">
      <w:r w:rsidRPr="000C74A5">
        <w:t xml:space="preserve">If n is the last subframe in which PMI is reported, the reported precoder is applied to a set of MPDCCH candidates for mapping between CRS port and MPDCCH DMRS port in subframe n+4 </w:t>
      </w:r>
    </w:p>
    <w:p w14:paraId="3FF43233" w14:textId="77777777" w:rsidR="00531B90" w:rsidRPr="00D416CA" w:rsidRDefault="00531B90" w:rsidP="00531B90">
      <w:pPr>
        <w:rPr>
          <w:b/>
          <w:highlight w:val="green"/>
        </w:rPr>
      </w:pPr>
      <w:r w:rsidRPr="00D416CA">
        <w:rPr>
          <w:b/>
          <w:highlight w:val="green"/>
        </w:rPr>
        <w:t>Agreement</w:t>
      </w:r>
    </w:p>
    <w:p w14:paraId="1636A85F" w14:textId="77777777" w:rsidR="00531B90" w:rsidRPr="00085364" w:rsidRDefault="00531B90" w:rsidP="00531B90">
      <w:pPr>
        <w:rPr>
          <w:rFonts w:eastAsia="Malgun Gothic"/>
          <w:bCs/>
          <w:szCs w:val="22"/>
          <w:lang w:eastAsia="zh-CN"/>
        </w:rPr>
      </w:pPr>
      <w:r w:rsidRPr="00085364">
        <w:rPr>
          <w:rFonts w:eastAsia="Malgun Gothic"/>
          <w:bCs/>
          <w:szCs w:val="22"/>
          <w:lang w:eastAsia="zh-CN"/>
        </w:rPr>
        <w:t xml:space="preserve">For precoder cycling, </w:t>
      </w:r>
      <w:r w:rsidRPr="00085364">
        <w:rPr>
          <w:rFonts w:eastAsia="Malgun Gothic" w:hint="eastAsia"/>
          <w:bCs/>
          <w:szCs w:val="22"/>
          <w:lang w:eastAsia="zh-CN"/>
        </w:rPr>
        <w:t>at least</w:t>
      </w:r>
      <w:r w:rsidRPr="00085364">
        <w:rPr>
          <w:rFonts w:eastAsia="Malgun Gothic"/>
          <w:bCs/>
          <w:szCs w:val="22"/>
          <w:lang w:eastAsia="zh-CN"/>
        </w:rPr>
        <w:t xml:space="preserve"> t</w:t>
      </w:r>
      <w:r w:rsidRPr="00085364">
        <w:rPr>
          <w:rFonts w:eastAsia="Malgun Gothic" w:hint="eastAsia"/>
          <w:bCs/>
          <w:szCs w:val="22"/>
          <w:lang w:eastAsia="zh-CN"/>
        </w:rPr>
        <w:t xml:space="preserve">he </w:t>
      </w:r>
      <w:r w:rsidRPr="00085364">
        <w:rPr>
          <w:rFonts w:eastAsia="Malgun Gothic"/>
          <w:bCs/>
          <w:szCs w:val="22"/>
          <w:lang w:eastAsia="zh-CN"/>
        </w:rPr>
        <w:t xml:space="preserve">granularity of 1 PRB in frequency domain is </w:t>
      </w:r>
      <w:r w:rsidRPr="00085364">
        <w:rPr>
          <w:rFonts w:eastAsia="Malgun Gothic" w:hint="eastAsia"/>
          <w:bCs/>
          <w:szCs w:val="22"/>
          <w:lang w:eastAsia="zh-CN"/>
        </w:rPr>
        <w:t xml:space="preserve">supported. </w:t>
      </w:r>
    </w:p>
    <w:p w14:paraId="49E5EFD2" w14:textId="77777777" w:rsidR="00531B90" w:rsidRPr="00974DEB" w:rsidRDefault="00531B90" w:rsidP="00531B90">
      <w:pPr>
        <w:numPr>
          <w:ilvl w:val="0"/>
          <w:numId w:val="21"/>
        </w:numPr>
      </w:pPr>
      <w:r w:rsidRPr="00974DEB">
        <w:rPr>
          <w:rFonts w:hint="eastAsia"/>
        </w:rPr>
        <w:t>FFS</w:t>
      </w:r>
      <w:r w:rsidRPr="00974DEB">
        <w:t>:</w:t>
      </w:r>
      <w:r w:rsidRPr="00974DEB">
        <w:rPr>
          <w:rFonts w:hint="eastAsia"/>
        </w:rPr>
        <w:t xml:space="preserve"> whether other granularities are supported or not.</w:t>
      </w:r>
    </w:p>
    <w:p w14:paraId="44916EF3" w14:textId="77777777" w:rsidR="00531B90" w:rsidRPr="00531B90" w:rsidRDefault="00531B90" w:rsidP="00061369">
      <w:pPr>
        <w:spacing w:after="0"/>
        <w:rPr>
          <w:bCs/>
          <w:lang w:val="en-US"/>
        </w:rPr>
      </w:pPr>
    </w:p>
    <w:p w14:paraId="24922A01" w14:textId="77777777" w:rsidR="00061369" w:rsidRPr="003619C0" w:rsidRDefault="00061369" w:rsidP="00061369">
      <w:pPr>
        <w:spacing w:after="0"/>
        <w:rPr>
          <w:bCs/>
        </w:rPr>
      </w:pPr>
    </w:p>
    <w:p w14:paraId="16621E77" w14:textId="57556079" w:rsidR="003B6EE7" w:rsidRDefault="003B6EE7" w:rsidP="003B6EE7">
      <w:r>
        <w:t xml:space="preserve">In this contribution, we </w:t>
      </w:r>
      <w:r w:rsidR="00424654">
        <w:t xml:space="preserve">present further details on how to </w:t>
      </w:r>
      <w:r w:rsidR="00531B90">
        <w:t>enable CRS-based channel estimation for MPDCCH</w:t>
      </w:r>
      <w:r w:rsidR="00424654">
        <w:t>.</w:t>
      </w:r>
    </w:p>
    <w:p w14:paraId="63739DDB" w14:textId="77777777" w:rsidR="003B6EE7" w:rsidRDefault="008304D8" w:rsidP="003B6EE7">
      <w:pPr>
        <w:pStyle w:val="Heading1"/>
        <w:numPr>
          <w:ilvl w:val="0"/>
          <w:numId w:val="1"/>
        </w:numPr>
        <w:tabs>
          <w:tab w:val="clear" w:pos="1140"/>
          <w:tab w:val="num" w:pos="720"/>
        </w:tabs>
        <w:ind w:left="720" w:hanging="720"/>
        <w:jc w:val="both"/>
      </w:pPr>
      <w:r>
        <w:lastRenderedPageBreak/>
        <w:t>Remaining details for precoder cycling</w:t>
      </w:r>
    </w:p>
    <w:p w14:paraId="55FDFC24" w14:textId="77777777" w:rsidR="008304D8" w:rsidRDefault="008304D8" w:rsidP="008304D8">
      <w:pPr>
        <w:pStyle w:val="Heading3"/>
      </w:pPr>
      <w:r w:rsidRPr="008304D8">
        <w:t xml:space="preserve">Granularity in </w:t>
      </w:r>
      <w:r>
        <w:t>frequency domain</w:t>
      </w:r>
    </w:p>
    <w:p w14:paraId="0BBEC4C7" w14:textId="77777777" w:rsidR="008304D8" w:rsidRDefault="00110D6B" w:rsidP="008304D8">
      <w:r>
        <w:t>In previous meetings it was discussed whether the precoder granularity in the frequency domain can be increased (current one is 1 PRB). One of the assumed advantages of increasing the granularity in the frequency domain is that the UE can perform channel estimation across more than 1 PRB, increasing the accuracy of the channel estimates. In many cases, however, this may not be possible</w:t>
      </w:r>
      <w:r w:rsidR="00EC72ED">
        <w:t xml:space="preserve"> due to complexity increase</w:t>
      </w:r>
      <w:r>
        <w:t>, as discussed during the Rel-13 work item</w:t>
      </w:r>
      <w:r w:rsidR="00EC72ED">
        <w:t xml:space="preserve"> [1]</w:t>
      </w:r>
      <w:r>
        <w:t>.</w:t>
      </w:r>
      <w:r w:rsidR="00EC72ED">
        <w:t xml:space="preserve"> The complexity resides on the fact that the UE does not know the aggregation level of the MPDCCH, and thus has to perform separate channel estimation hypotheses depending on the aggregation level. The reasoning from [1] is shown in Appendix for quick reference.</w:t>
      </w:r>
    </w:p>
    <w:p w14:paraId="308FB5A6" w14:textId="77777777" w:rsidR="00EC72ED" w:rsidRDefault="00EC72ED" w:rsidP="008304D8">
      <w:r>
        <w:t>The issue shown in [1] and the appendix affects only localized MPDCCH – for distributed MPDCCH, in most cases it is possible to perform wider band channel estimation due to the mapping process. Thus, we make the following proposal</w:t>
      </w:r>
    </w:p>
    <w:p w14:paraId="1438735B" w14:textId="7BCC23E6" w:rsidR="00110D6B" w:rsidRDefault="00110D6B" w:rsidP="008304D8">
      <w:pPr>
        <w:rPr>
          <w:b/>
        </w:rPr>
      </w:pPr>
      <w:r w:rsidRPr="00110D6B">
        <w:rPr>
          <w:b/>
          <w:u w:val="single"/>
        </w:rPr>
        <w:t>Proposal</w:t>
      </w:r>
      <w:r w:rsidR="003A7129">
        <w:rPr>
          <w:b/>
          <w:u w:val="single"/>
        </w:rPr>
        <w:t xml:space="preserve"> </w:t>
      </w:r>
      <w:r w:rsidR="00082649">
        <w:rPr>
          <w:b/>
          <w:u w:val="single"/>
        </w:rPr>
        <w:t>1</w:t>
      </w:r>
      <w:r w:rsidRPr="00110D6B">
        <w:rPr>
          <w:b/>
          <w:u w:val="single"/>
        </w:rPr>
        <w:t>:</w:t>
      </w:r>
      <w:r w:rsidRPr="00110D6B">
        <w:rPr>
          <w:b/>
        </w:rPr>
        <w:t xml:space="preserve"> At least for localized MPDCCH, the granularity of precoding in the frequency domain is 1 </w:t>
      </w:r>
      <w:r w:rsidR="008343C9">
        <w:rPr>
          <w:b/>
        </w:rPr>
        <w:t xml:space="preserve">only </w:t>
      </w:r>
      <w:r w:rsidRPr="00110D6B">
        <w:rPr>
          <w:b/>
        </w:rPr>
        <w:t>PRB</w:t>
      </w:r>
      <w:r w:rsidR="00667109">
        <w:rPr>
          <w:b/>
        </w:rPr>
        <w:t>.</w:t>
      </w:r>
    </w:p>
    <w:p w14:paraId="54AE1990" w14:textId="77777777" w:rsidR="003A7129" w:rsidRDefault="003A7129" w:rsidP="008304D8">
      <w:r w:rsidRPr="003A7129">
        <w:t>For distributed MPDC</w:t>
      </w:r>
      <w:r>
        <w:t>CH, the gain of increasing the bundle size in the frequency domain is unclear with the introduction of the usage of CRS; evaluations should be carried out when combining the DMRS channel estimation with the wideband CRS channel estimation.</w:t>
      </w:r>
    </w:p>
    <w:p w14:paraId="3617894C" w14:textId="77777777" w:rsidR="003A7129" w:rsidRPr="003A7129" w:rsidRDefault="003A7129" w:rsidP="008304D8">
      <w:pPr>
        <w:rPr>
          <w:b/>
        </w:rPr>
      </w:pPr>
      <w:r w:rsidRPr="003A7129">
        <w:rPr>
          <w:b/>
          <w:u w:val="single"/>
        </w:rPr>
        <w:t>Observation</w:t>
      </w:r>
      <w:r>
        <w:rPr>
          <w:b/>
          <w:u w:val="single"/>
        </w:rPr>
        <w:t xml:space="preserve"> 1</w:t>
      </w:r>
      <w:r w:rsidRPr="003A7129">
        <w:rPr>
          <w:b/>
          <w:u w:val="single"/>
        </w:rPr>
        <w:t>:</w:t>
      </w:r>
      <w:r>
        <w:rPr>
          <w:b/>
        </w:rPr>
        <w:t xml:space="preserve"> Introduction of PRB bundling for distributed MPDCCH should be contingent on showing gains with respect to a baseline that includes DMRS + wideband CRS channel estimation.</w:t>
      </w:r>
    </w:p>
    <w:p w14:paraId="3EAFF3FD" w14:textId="77777777" w:rsidR="003A7129" w:rsidRPr="003A7129" w:rsidRDefault="003A7129" w:rsidP="008304D8"/>
    <w:p w14:paraId="7F300ECB" w14:textId="77777777" w:rsidR="008304D8" w:rsidRDefault="005A0670" w:rsidP="008304D8">
      <w:pPr>
        <w:pStyle w:val="Heading3"/>
      </w:pPr>
      <w:r>
        <w:t>Sequence and sets of precoders</w:t>
      </w:r>
    </w:p>
    <w:p w14:paraId="71B4726F" w14:textId="77777777" w:rsidR="00EC72ED" w:rsidRDefault="005A0670" w:rsidP="00EC72ED">
      <w:r>
        <w:t>One open issue for the sequence of precoders is whether the set is configured or not. For the purpose of getting frequency diversity, it is unclear what would be the gain related to configuring the set of precoders. Thus, for the purpose of saving RRC signalling, we propose to define the set of used precoders in the specification.</w:t>
      </w:r>
    </w:p>
    <w:p w14:paraId="329713B9" w14:textId="5A8DC0B6" w:rsidR="005A0670" w:rsidRDefault="005A0670" w:rsidP="00EC72ED">
      <w:pPr>
        <w:rPr>
          <w:b/>
        </w:rPr>
      </w:pPr>
      <w:r w:rsidRPr="005A0670">
        <w:rPr>
          <w:b/>
          <w:u w:val="single"/>
        </w:rPr>
        <w:t xml:space="preserve">Proposal </w:t>
      </w:r>
      <w:r w:rsidR="00082649">
        <w:rPr>
          <w:b/>
          <w:u w:val="single"/>
        </w:rPr>
        <w:t>2</w:t>
      </w:r>
      <w:r w:rsidRPr="005A0670">
        <w:rPr>
          <w:b/>
          <w:u w:val="single"/>
        </w:rPr>
        <w:t>:</w:t>
      </w:r>
      <w:r w:rsidRPr="005A0670">
        <w:rPr>
          <w:b/>
        </w:rPr>
        <w:t xml:space="preserve"> </w:t>
      </w:r>
      <w:r>
        <w:rPr>
          <w:b/>
        </w:rPr>
        <w:t>The precoder set</w:t>
      </w:r>
      <w:r w:rsidR="00F8517D">
        <w:rPr>
          <w:b/>
        </w:rPr>
        <w:t xml:space="preserve"> for precoder cycling</w:t>
      </w:r>
      <w:r>
        <w:rPr>
          <w:b/>
        </w:rPr>
        <w:t xml:space="preserve"> is fixed in the specification. </w:t>
      </w:r>
    </w:p>
    <w:p w14:paraId="68DC5C5F" w14:textId="77777777" w:rsidR="005A0670" w:rsidRDefault="00673B0B" w:rsidP="00EC72ED">
      <w:r>
        <w:t xml:space="preserve">The precoder </w:t>
      </w:r>
      <w:r w:rsidR="00667109">
        <w:t xml:space="preserve">cycling </w:t>
      </w:r>
      <w:r>
        <w:t>sequence</w:t>
      </w:r>
      <w:r w:rsidR="00667109">
        <w:t xml:space="preserve"> can be based on one of the following options</w:t>
      </w:r>
    </w:p>
    <w:p w14:paraId="68D0A33E" w14:textId="1BCDC60D" w:rsidR="00673B0B" w:rsidRPr="00673B0B" w:rsidRDefault="00673B0B" w:rsidP="00BB79C8">
      <w:pPr>
        <w:numPr>
          <w:ilvl w:val="0"/>
          <w:numId w:val="21"/>
        </w:numPr>
        <w:rPr>
          <w:lang w:val="en-US"/>
        </w:rPr>
      </w:pPr>
      <w:r w:rsidRPr="00673B0B">
        <w:rPr>
          <w:u w:val="single"/>
          <w:lang w:val="en-US"/>
        </w:rPr>
        <w:t>Pseudo-random:</w:t>
      </w:r>
      <w:r w:rsidRPr="00673B0B">
        <w:rPr>
          <w:lang w:val="en-US"/>
        </w:rPr>
        <w:t xml:space="preserve"> </w:t>
      </w:r>
      <w:r>
        <w:rPr>
          <w:lang w:val="en-US"/>
        </w:rPr>
        <w:t>The precoders are based on a pseudo-random number generator. The main pro of this approach is that it randomizes the interference between different cells and UEs. Also, it is simpler than finding a general equation that would work for all cases.</w:t>
      </w:r>
    </w:p>
    <w:p w14:paraId="27136F98" w14:textId="1A6984EB" w:rsidR="00673B0B" w:rsidRPr="001A6ACE" w:rsidRDefault="00673B0B" w:rsidP="00BB79C8">
      <w:pPr>
        <w:numPr>
          <w:ilvl w:val="0"/>
          <w:numId w:val="21"/>
        </w:numPr>
        <w:rPr>
          <w:u w:val="single"/>
          <w:lang w:val="en-US"/>
        </w:rPr>
      </w:pPr>
      <w:r w:rsidRPr="001A6ACE">
        <w:rPr>
          <w:u w:val="single"/>
          <w:lang w:val="en-US"/>
        </w:rPr>
        <w:t>Deterministic:</w:t>
      </w:r>
      <w:r w:rsidRPr="001A6ACE">
        <w:rPr>
          <w:lang w:val="en-US"/>
        </w:rPr>
        <w:t xml:space="preserve"> </w:t>
      </w:r>
      <w:r w:rsidR="001A6ACE" w:rsidRPr="001A6ACE">
        <w:rPr>
          <w:lang w:val="en-US"/>
        </w:rPr>
        <w:t>The specification can d</w:t>
      </w:r>
      <w:r w:rsidR="001A6ACE">
        <w:rPr>
          <w:lang w:val="en-US"/>
        </w:rPr>
        <w:t>efine an equation</w:t>
      </w:r>
      <w:r w:rsidR="00667109">
        <w:rPr>
          <w:lang w:val="en-US"/>
        </w:rPr>
        <w:t xml:space="preserve"> that sets the pattern.</w:t>
      </w:r>
    </w:p>
    <w:p w14:paraId="2FACED8A" w14:textId="77777777" w:rsidR="002D6863" w:rsidRDefault="006B44EA" w:rsidP="00424654">
      <w:pPr>
        <w:rPr>
          <w:b/>
        </w:rPr>
      </w:pPr>
      <w:r w:rsidRPr="00673B0B">
        <w:rPr>
          <w:b/>
          <w:u w:val="single"/>
        </w:rPr>
        <w:t xml:space="preserve">Proposal </w:t>
      </w:r>
      <w:r w:rsidR="00082649">
        <w:rPr>
          <w:b/>
          <w:u w:val="single"/>
        </w:rPr>
        <w:t>3:</w:t>
      </w:r>
      <w:r w:rsidRPr="00673B0B">
        <w:rPr>
          <w:b/>
        </w:rPr>
        <w:t xml:space="preserve"> </w:t>
      </w:r>
      <w:r w:rsidR="00673B0B">
        <w:rPr>
          <w:b/>
        </w:rPr>
        <w:t>For the precoder sequence, RAN1 to downselect between</w:t>
      </w:r>
      <w:r w:rsidR="002D6863">
        <w:rPr>
          <w:b/>
        </w:rPr>
        <w:t>:</w:t>
      </w:r>
    </w:p>
    <w:p w14:paraId="1821A060" w14:textId="77777777" w:rsidR="002D6863" w:rsidRDefault="002D6863" w:rsidP="002D6863">
      <w:pPr>
        <w:ind w:left="720"/>
        <w:rPr>
          <w:b/>
        </w:rPr>
      </w:pPr>
      <w:r>
        <w:rPr>
          <w:b/>
        </w:rPr>
        <w:t>- Option 1: The sequence of precoders is selected based on the output of a binary pseudo-random sequence.</w:t>
      </w:r>
    </w:p>
    <w:p w14:paraId="5D124329" w14:textId="618A28D6" w:rsidR="00424654" w:rsidRDefault="002D6863" w:rsidP="002D6863">
      <w:pPr>
        <w:ind w:left="720"/>
        <w:rPr>
          <w:b/>
        </w:rPr>
      </w:pPr>
      <w:r>
        <w:rPr>
          <w:b/>
        </w:rPr>
        <w:t>- Option 2:</w:t>
      </w:r>
      <w:r w:rsidR="00673B0B">
        <w:rPr>
          <w:b/>
        </w:rPr>
        <w:t xml:space="preserve"> </w:t>
      </w:r>
      <w:r>
        <w:rPr>
          <w:b/>
        </w:rPr>
        <w:t>The sequence of precoders is defined in a</w:t>
      </w:r>
      <w:r w:rsidR="00667109">
        <w:rPr>
          <w:b/>
        </w:rPr>
        <w:t xml:space="preserve"> deterministic manner.</w:t>
      </w:r>
      <w:r>
        <w:rPr>
          <w:b/>
        </w:rPr>
        <w:t xml:space="preserve"> </w:t>
      </w:r>
    </w:p>
    <w:p w14:paraId="05ED6B5B" w14:textId="3CFAF013" w:rsidR="00D80293" w:rsidRDefault="00D80293" w:rsidP="00D80293">
      <w:pPr>
        <w:pStyle w:val="Heading3"/>
      </w:pPr>
      <w:r>
        <w:t>Rank1 vs Rank2</w:t>
      </w:r>
    </w:p>
    <w:p w14:paraId="56ED10FF" w14:textId="7072ABF7" w:rsidR="008343C9" w:rsidRDefault="00FB5968" w:rsidP="008343C9">
      <w:pPr>
        <w:rPr>
          <w:bCs/>
        </w:rPr>
      </w:pPr>
      <w:r>
        <w:rPr>
          <w:bCs/>
        </w:rPr>
        <w:t>Another</w:t>
      </w:r>
      <w:r w:rsidR="00BB79C8" w:rsidRPr="00BB79C8">
        <w:rPr>
          <w:bCs/>
        </w:rPr>
        <w:t xml:space="preserve"> remaining issue from the previous meeting is </w:t>
      </w:r>
      <w:r w:rsidR="00BB79C8">
        <w:rPr>
          <w:bCs/>
        </w:rPr>
        <w:t>whether the precoder cycling for distributed MPDCCH is based on rank-1 or rank-2 precoders. We make the following notes:</w:t>
      </w:r>
    </w:p>
    <w:p w14:paraId="5CBF14CA" w14:textId="6F2C271E" w:rsidR="00BB79C8" w:rsidRDefault="00BB79C8" w:rsidP="00BB79C8">
      <w:pPr>
        <w:numPr>
          <w:ilvl w:val="0"/>
          <w:numId w:val="21"/>
        </w:numPr>
        <w:rPr>
          <w:bCs/>
        </w:rPr>
      </w:pPr>
      <w:r>
        <w:rPr>
          <w:bCs/>
        </w:rPr>
        <w:t xml:space="preserve">For localized operation, the precoders </w:t>
      </w:r>
      <w:r w:rsidR="00FB5968">
        <w:rPr>
          <w:bCs/>
        </w:rPr>
        <w:t>must</w:t>
      </w:r>
      <w:r>
        <w:rPr>
          <w:bCs/>
        </w:rPr>
        <w:t xml:space="preserve"> be rank-1</w:t>
      </w:r>
      <w:r w:rsidR="00F8517D">
        <w:rPr>
          <w:bCs/>
        </w:rPr>
        <w:t xml:space="preserve"> – this implies that a UE has to implement rank-1 CRS to DMRS mapping.</w:t>
      </w:r>
    </w:p>
    <w:p w14:paraId="1718C3C9" w14:textId="246BC651" w:rsidR="00BB79C8" w:rsidRDefault="00BB79C8" w:rsidP="00BB79C8">
      <w:pPr>
        <w:numPr>
          <w:ilvl w:val="0"/>
          <w:numId w:val="21"/>
        </w:numPr>
        <w:rPr>
          <w:bCs/>
        </w:rPr>
      </w:pPr>
      <w:r>
        <w:rPr>
          <w:bCs/>
        </w:rPr>
        <w:t xml:space="preserve">It is possible to form a subset of the rank-2 precoders by combining rank-1 precoders. For example, from Table </w:t>
      </w:r>
      <w:r w:rsidRPr="00F829B6">
        <w:t>Table 6.3.4.2.3-1</w:t>
      </w:r>
      <w:r>
        <w:t xml:space="preserve"> in 36.211</w:t>
      </w:r>
      <w:r>
        <w:rPr>
          <w:bCs/>
        </w:rPr>
        <w:t xml:space="preserve"> (reproduced below for completeness), the rank-2 precoder with precoder index 1 can be built from rank-1 precoders {0,1}, and rank-2 precoder index 2 can be built from rank-1 precoders {2,3}. </w:t>
      </w:r>
    </w:p>
    <w:p w14:paraId="4495F2B4" w14:textId="77777777" w:rsidR="00BB79C8" w:rsidRPr="00F829B6" w:rsidRDefault="00BB79C8" w:rsidP="00BB79C8">
      <w:pPr>
        <w:pStyle w:val="TH"/>
        <w:ind w:left="360"/>
      </w:pPr>
      <w:r w:rsidRPr="00F829B6">
        <w:lastRenderedPageBreak/>
        <w:t xml:space="preserve">Table 6.3.4.2.3-1: Codebook for transmission on antenna ports </w:t>
      </w:r>
      <w:r w:rsidRPr="00F829B6">
        <w:rPr>
          <w:position w:val="-10"/>
        </w:rPr>
        <w:object w:dxaOrig="400" w:dyaOrig="300" w14:anchorId="5DA1E98F">
          <v:shape id="_x0000_i1026" type="#_x0000_t75" style="width:20.75pt;height:15pt" o:ole="">
            <v:imagedata r:id="rId8" o:title=""/>
          </v:shape>
          <o:OLEObject Type="Embed" ProgID="Equation.3" ShapeID="_x0000_i1026" DrawAspect="Content" ObjectID="_1627479164" r:id="rId9"/>
        </w:object>
      </w:r>
      <w:r w:rsidRPr="00F829B6">
        <w:t xml:space="preserve"> and for</w:t>
      </w:r>
      <w:r w:rsidRPr="00F829B6">
        <w:rPr>
          <w:rFonts w:eastAsia="Malgun Gothic" w:hint="eastAsia"/>
          <w:lang w:eastAsia="ko-KR"/>
        </w:rPr>
        <w:t xml:space="preserve"> CSI reporting </w:t>
      </w:r>
      <w:r w:rsidRPr="00F829B6">
        <w:rPr>
          <w:rFonts w:hint="eastAsia"/>
          <w:lang w:eastAsia="ja-JP"/>
        </w:rPr>
        <w:t xml:space="preserve">based on </w:t>
      </w:r>
      <w:r w:rsidRPr="00F829B6">
        <w:rPr>
          <w:rFonts w:eastAsia="Malgun Gothic" w:hint="eastAsia"/>
          <w:lang w:eastAsia="ko-KR"/>
        </w:rPr>
        <w:t>antenna ports</w:t>
      </w:r>
      <w:r w:rsidRPr="00F829B6">
        <w:t xml:space="preserve"> </w:t>
      </w:r>
      <w:r w:rsidRPr="00F829B6">
        <w:rPr>
          <w:position w:val="-10"/>
        </w:rPr>
        <w:object w:dxaOrig="400" w:dyaOrig="300" w14:anchorId="2789FCD3">
          <v:shape id="_x0000_i1027" type="#_x0000_t75" style="width:20.75pt;height:15pt" o:ole="">
            <v:imagedata r:id="rId10" o:title=""/>
          </v:shape>
          <o:OLEObject Type="Embed" ProgID="Equation.3" ShapeID="_x0000_i1027" DrawAspect="Content" ObjectID="_1627479165" r:id="rId11"/>
        </w:object>
      </w:r>
      <w:r w:rsidRPr="00F829B6">
        <w:t xml:space="preserve"> or </w:t>
      </w:r>
      <w:r w:rsidRPr="00F829B6">
        <w:rPr>
          <w:position w:val="-10"/>
        </w:rPr>
        <w:object w:dxaOrig="600" w:dyaOrig="300" w14:anchorId="73B4F760">
          <v:shape id="_x0000_i1028" type="#_x0000_t75" style="width:30.05pt;height:15pt" o:ole="">
            <v:imagedata r:id="rId12" o:title=""/>
          </v:shape>
          <o:OLEObject Type="Embed" ProgID="Equation.3" ShapeID="_x0000_i1028" DrawAspect="Content" ObjectID="_1627479166" r:id="rId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gridCol w:w="1559"/>
      </w:tblGrid>
      <w:tr w:rsidR="00BB79C8" w:rsidRPr="00F829B6" w14:paraId="662A8544" w14:textId="77777777" w:rsidTr="00711D69">
        <w:trPr>
          <w:jc w:val="center"/>
        </w:trPr>
        <w:tc>
          <w:tcPr>
            <w:tcW w:w="1101" w:type="dxa"/>
            <w:vMerge w:val="restart"/>
            <w:shd w:val="clear" w:color="auto" w:fill="E0E0E0"/>
          </w:tcPr>
          <w:p w14:paraId="478CC985" w14:textId="77777777" w:rsidR="00BB79C8" w:rsidRPr="00F829B6" w:rsidRDefault="00BB79C8" w:rsidP="00711D69">
            <w:pPr>
              <w:pStyle w:val="TAH"/>
            </w:pPr>
            <w:r w:rsidRPr="00F829B6">
              <w:t>Codebook index</w:t>
            </w:r>
          </w:p>
        </w:tc>
        <w:tc>
          <w:tcPr>
            <w:tcW w:w="3260" w:type="dxa"/>
            <w:gridSpan w:val="2"/>
            <w:tcBorders>
              <w:bottom w:val="nil"/>
              <w:right w:val="single" w:sz="4" w:space="0" w:color="auto"/>
            </w:tcBorders>
            <w:shd w:val="clear" w:color="auto" w:fill="E0E0E0"/>
          </w:tcPr>
          <w:p w14:paraId="7F1BBCE4" w14:textId="77777777" w:rsidR="00BB79C8" w:rsidRPr="00F829B6" w:rsidRDefault="00BB79C8" w:rsidP="00711D69">
            <w:pPr>
              <w:pStyle w:val="TAH"/>
            </w:pPr>
            <w:r w:rsidRPr="00F829B6">
              <w:t xml:space="preserve">Number of layers </w:t>
            </w:r>
            <w:r w:rsidRPr="00F829B6">
              <w:rPr>
                <w:position w:val="-6"/>
              </w:rPr>
              <w:object w:dxaOrig="180" w:dyaOrig="200" w14:anchorId="00831E15">
                <v:shape id="_x0000_i1029" type="#_x0000_t75" style="width:8.85pt;height:9.7pt" o:ole="">
                  <v:imagedata r:id="rId14" o:title=""/>
                </v:shape>
                <o:OLEObject Type="Embed" ProgID="Equation.3" ShapeID="_x0000_i1029" DrawAspect="Content" ObjectID="_1627479167" r:id="rId15"/>
              </w:object>
            </w:r>
          </w:p>
        </w:tc>
      </w:tr>
      <w:tr w:rsidR="00BB79C8" w:rsidRPr="00F829B6" w14:paraId="328FDC8B" w14:textId="77777777" w:rsidTr="00711D69">
        <w:trPr>
          <w:jc w:val="center"/>
        </w:trPr>
        <w:tc>
          <w:tcPr>
            <w:tcW w:w="1101" w:type="dxa"/>
            <w:vMerge/>
            <w:shd w:val="clear" w:color="auto" w:fill="E0E0E0"/>
          </w:tcPr>
          <w:p w14:paraId="08476716" w14:textId="77777777" w:rsidR="00BB79C8" w:rsidRPr="00F829B6" w:rsidRDefault="00BB79C8" w:rsidP="00711D69">
            <w:pPr>
              <w:pStyle w:val="TAH"/>
            </w:pPr>
          </w:p>
        </w:tc>
        <w:tc>
          <w:tcPr>
            <w:tcW w:w="1701" w:type="dxa"/>
            <w:tcBorders>
              <w:top w:val="nil"/>
            </w:tcBorders>
            <w:shd w:val="clear" w:color="auto" w:fill="E0E0E0"/>
          </w:tcPr>
          <w:p w14:paraId="364A6141" w14:textId="77777777" w:rsidR="00BB79C8" w:rsidRPr="00F829B6" w:rsidRDefault="00BB79C8" w:rsidP="00711D69">
            <w:pPr>
              <w:pStyle w:val="TAH"/>
            </w:pPr>
            <w:r w:rsidRPr="00F829B6">
              <w:t>1</w:t>
            </w:r>
          </w:p>
        </w:tc>
        <w:tc>
          <w:tcPr>
            <w:tcW w:w="1559" w:type="dxa"/>
            <w:tcBorders>
              <w:top w:val="nil"/>
              <w:right w:val="single" w:sz="4" w:space="0" w:color="auto"/>
            </w:tcBorders>
            <w:shd w:val="clear" w:color="auto" w:fill="E0E0E0"/>
          </w:tcPr>
          <w:p w14:paraId="5E81BF2C" w14:textId="77777777" w:rsidR="00BB79C8" w:rsidRPr="00F829B6" w:rsidRDefault="00BB79C8" w:rsidP="00711D69">
            <w:pPr>
              <w:pStyle w:val="TAH"/>
            </w:pPr>
            <w:r w:rsidRPr="00F829B6">
              <w:t>2</w:t>
            </w:r>
          </w:p>
        </w:tc>
      </w:tr>
      <w:tr w:rsidR="00BB79C8" w:rsidRPr="00F829B6" w14:paraId="3CF89B0B" w14:textId="77777777" w:rsidTr="00711D69">
        <w:trPr>
          <w:jc w:val="center"/>
        </w:trPr>
        <w:tc>
          <w:tcPr>
            <w:tcW w:w="1101" w:type="dxa"/>
            <w:shd w:val="clear" w:color="auto" w:fill="auto"/>
            <w:vAlign w:val="center"/>
          </w:tcPr>
          <w:p w14:paraId="540C8701" w14:textId="77777777" w:rsidR="00BB79C8" w:rsidRPr="00F829B6" w:rsidRDefault="00BB79C8" w:rsidP="00711D69">
            <w:pPr>
              <w:pStyle w:val="TAC"/>
            </w:pPr>
            <w:r w:rsidRPr="00F829B6">
              <w:t>0</w:t>
            </w:r>
          </w:p>
        </w:tc>
        <w:tc>
          <w:tcPr>
            <w:tcW w:w="1701" w:type="dxa"/>
            <w:shd w:val="clear" w:color="auto" w:fill="auto"/>
            <w:vAlign w:val="center"/>
          </w:tcPr>
          <w:p w14:paraId="7FA40847" w14:textId="77777777" w:rsidR="00BB79C8" w:rsidRPr="00F829B6" w:rsidRDefault="00BB79C8" w:rsidP="00711D69">
            <w:pPr>
              <w:pStyle w:val="TAC"/>
            </w:pPr>
            <w:r w:rsidRPr="00F829B6">
              <w:rPr>
                <w:position w:val="-26"/>
              </w:rPr>
              <w:object w:dxaOrig="639" w:dyaOrig="620" w14:anchorId="4125B703">
                <v:shape id="_x0000_i1030" type="#_x0000_t75" style="width:31.8pt;height:30.9pt" o:ole="">
                  <v:imagedata r:id="rId16" o:title=""/>
                </v:shape>
                <o:OLEObject Type="Embed" ProgID="Equation.3" ShapeID="_x0000_i1030" DrawAspect="Content" ObjectID="_1627479168" r:id="rId17"/>
              </w:object>
            </w:r>
          </w:p>
        </w:tc>
        <w:tc>
          <w:tcPr>
            <w:tcW w:w="1559" w:type="dxa"/>
            <w:shd w:val="clear" w:color="auto" w:fill="auto"/>
            <w:vAlign w:val="center"/>
          </w:tcPr>
          <w:p w14:paraId="52DE809B" w14:textId="77777777" w:rsidR="00BB79C8" w:rsidRPr="00F829B6" w:rsidRDefault="00BB79C8" w:rsidP="00711D69">
            <w:pPr>
              <w:pStyle w:val="TAC"/>
            </w:pPr>
            <w:r w:rsidRPr="00F829B6">
              <w:rPr>
                <w:position w:val="-26"/>
              </w:rPr>
              <w:object w:dxaOrig="960" w:dyaOrig="620" w14:anchorId="5EEACE72">
                <v:shape id="_x0000_i1031" type="#_x0000_t75" style="width:47.7pt;height:30.9pt" o:ole="">
                  <v:imagedata r:id="rId18" o:title=""/>
                </v:shape>
                <o:OLEObject Type="Embed" ProgID="Equation.3" ShapeID="_x0000_i1031" DrawAspect="Content" ObjectID="_1627479169" r:id="rId19"/>
              </w:object>
            </w:r>
          </w:p>
        </w:tc>
      </w:tr>
      <w:tr w:rsidR="00BB79C8" w:rsidRPr="00F829B6" w14:paraId="746DF1AA" w14:textId="77777777" w:rsidTr="00711D69">
        <w:trPr>
          <w:jc w:val="center"/>
        </w:trPr>
        <w:tc>
          <w:tcPr>
            <w:tcW w:w="1101" w:type="dxa"/>
            <w:shd w:val="clear" w:color="auto" w:fill="auto"/>
            <w:vAlign w:val="center"/>
          </w:tcPr>
          <w:p w14:paraId="2860BB95" w14:textId="77777777" w:rsidR="00BB79C8" w:rsidRPr="00F829B6" w:rsidRDefault="00BB79C8" w:rsidP="00711D69">
            <w:pPr>
              <w:pStyle w:val="TAC"/>
            </w:pPr>
            <w:r w:rsidRPr="00F829B6">
              <w:t>1</w:t>
            </w:r>
          </w:p>
        </w:tc>
        <w:tc>
          <w:tcPr>
            <w:tcW w:w="1701" w:type="dxa"/>
            <w:shd w:val="clear" w:color="auto" w:fill="auto"/>
            <w:vAlign w:val="center"/>
          </w:tcPr>
          <w:p w14:paraId="2208FAA7" w14:textId="77777777" w:rsidR="00BB79C8" w:rsidRPr="00F829B6" w:rsidRDefault="00BB79C8" w:rsidP="00711D69">
            <w:pPr>
              <w:pStyle w:val="TAC"/>
            </w:pPr>
            <w:r w:rsidRPr="00F829B6">
              <w:rPr>
                <w:position w:val="-26"/>
              </w:rPr>
              <w:object w:dxaOrig="780" w:dyaOrig="620" w14:anchorId="70FEE758">
                <v:shape id="_x0000_i1032" type="#_x0000_t75" style="width:39.75pt;height:30.9pt" o:ole="">
                  <v:imagedata r:id="rId20" o:title=""/>
                </v:shape>
                <o:OLEObject Type="Embed" ProgID="Equation.3" ShapeID="_x0000_i1032" DrawAspect="Content" ObjectID="_1627479170" r:id="rId21"/>
              </w:object>
            </w:r>
          </w:p>
        </w:tc>
        <w:tc>
          <w:tcPr>
            <w:tcW w:w="1559" w:type="dxa"/>
            <w:shd w:val="clear" w:color="auto" w:fill="auto"/>
            <w:vAlign w:val="center"/>
          </w:tcPr>
          <w:p w14:paraId="4D84A2FF" w14:textId="77777777" w:rsidR="00BB79C8" w:rsidRPr="00F829B6" w:rsidRDefault="00BB79C8" w:rsidP="00711D69">
            <w:pPr>
              <w:pStyle w:val="TAC"/>
            </w:pPr>
            <w:r w:rsidRPr="00F829B6">
              <w:rPr>
                <w:position w:val="-26"/>
              </w:rPr>
              <w:object w:dxaOrig="880" w:dyaOrig="620" w14:anchorId="7DFE0570">
                <v:shape id="_x0000_i1033" type="#_x0000_t75" style="width:44.15pt;height:30.9pt" o:ole="">
                  <v:imagedata r:id="rId22" o:title=""/>
                </v:shape>
                <o:OLEObject Type="Embed" ProgID="Equation.3" ShapeID="_x0000_i1033" DrawAspect="Content" ObjectID="_1627479171" r:id="rId23"/>
              </w:object>
            </w:r>
          </w:p>
        </w:tc>
      </w:tr>
      <w:tr w:rsidR="00BB79C8" w:rsidRPr="00F829B6" w14:paraId="3C856981" w14:textId="77777777" w:rsidTr="00711D69">
        <w:trPr>
          <w:jc w:val="center"/>
        </w:trPr>
        <w:tc>
          <w:tcPr>
            <w:tcW w:w="1101" w:type="dxa"/>
            <w:shd w:val="clear" w:color="auto" w:fill="auto"/>
            <w:vAlign w:val="center"/>
          </w:tcPr>
          <w:p w14:paraId="38DD0F94" w14:textId="77777777" w:rsidR="00BB79C8" w:rsidRPr="00F829B6" w:rsidRDefault="00BB79C8" w:rsidP="00711D69">
            <w:pPr>
              <w:pStyle w:val="TAC"/>
            </w:pPr>
            <w:r w:rsidRPr="00F829B6">
              <w:t>2</w:t>
            </w:r>
          </w:p>
        </w:tc>
        <w:tc>
          <w:tcPr>
            <w:tcW w:w="1701" w:type="dxa"/>
            <w:shd w:val="clear" w:color="auto" w:fill="auto"/>
            <w:vAlign w:val="center"/>
          </w:tcPr>
          <w:p w14:paraId="13AB6E52" w14:textId="77777777" w:rsidR="00BB79C8" w:rsidRPr="00F829B6" w:rsidRDefault="00BB79C8" w:rsidP="00711D69">
            <w:pPr>
              <w:pStyle w:val="TAC"/>
            </w:pPr>
            <w:r w:rsidRPr="00F829B6">
              <w:rPr>
                <w:position w:val="-26"/>
              </w:rPr>
              <w:object w:dxaOrig="680" w:dyaOrig="620" w14:anchorId="15239E3D">
                <v:shape id="_x0000_i1034" type="#_x0000_t75" style="width:34pt;height:30.9pt" o:ole="">
                  <v:imagedata r:id="rId24" o:title=""/>
                </v:shape>
                <o:OLEObject Type="Embed" ProgID="Equation.3" ShapeID="_x0000_i1034" DrawAspect="Content" ObjectID="_1627479172" r:id="rId25"/>
              </w:object>
            </w:r>
          </w:p>
        </w:tc>
        <w:tc>
          <w:tcPr>
            <w:tcW w:w="1559" w:type="dxa"/>
            <w:shd w:val="clear" w:color="auto" w:fill="auto"/>
            <w:vAlign w:val="center"/>
          </w:tcPr>
          <w:p w14:paraId="32B3F331" w14:textId="77777777" w:rsidR="00BB79C8" w:rsidRPr="00F829B6" w:rsidRDefault="00BB79C8" w:rsidP="00711D69">
            <w:pPr>
              <w:pStyle w:val="TAC"/>
            </w:pPr>
            <w:r w:rsidRPr="00F829B6">
              <w:rPr>
                <w:position w:val="-26"/>
              </w:rPr>
              <w:object w:dxaOrig="960" w:dyaOrig="620" w14:anchorId="127A4A14">
                <v:shape id="_x0000_i1035" type="#_x0000_t75" style="width:47.7pt;height:30.9pt" o:ole="">
                  <v:imagedata r:id="rId26" o:title=""/>
                </v:shape>
                <o:OLEObject Type="Embed" ProgID="Equation.3" ShapeID="_x0000_i1035" DrawAspect="Content" ObjectID="_1627479173" r:id="rId27"/>
              </w:object>
            </w:r>
          </w:p>
        </w:tc>
      </w:tr>
      <w:tr w:rsidR="00BB79C8" w:rsidRPr="00F829B6" w14:paraId="486BD80D" w14:textId="77777777" w:rsidTr="00711D69">
        <w:trPr>
          <w:jc w:val="center"/>
        </w:trPr>
        <w:tc>
          <w:tcPr>
            <w:tcW w:w="1101" w:type="dxa"/>
            <w:shd w:val="clear" w:color="auto" w:fill="auto"/>
            <w:vAlign w:val="center"/>
          </w:tcPr>
          <w:p w14:paraId="652D575F" w14:textId="77777777" w:rsidR="00BB79C8" w:rsidRPr="00F829B6" w:rsidRDefault="00BB79C8" w:rsidP="00711D69">
            <w:pPr>
              <w:pStyle w:val="TAC"/>
            </w:pPr>
            <w:r w:rsidRPr="00F829B6">
              <w:t>3</w:t>
            </w:r>
          </w:p>
        </w:tc>
        <w:tc>
          <w:tcPr>
            <w:tcW w:w="1701" w:type="dxa"/>
            <w:shd w:val="clear" w:color="auto" w:fill="auto"/>
            <w:vAlign w:val="center"/>
          </w:tcPr>
          <w:p w14:paraId="177DCBBA" w14:textId="77777777" w:rsidR="00BB79C8" w:rsidRPr="00F829B6" w:rsidRDefault="00BB79C8" w:rsidP="00711D69">
            <w:pPr>
              <w:pStyle w:val="TAC"/>
            </w:pPr>
            <w:r w:rsidRPr="00F829B6">
              <w:rPr>
                <w:position w:val="-26"/>
              </w:rPr>
              <w:object w:dxaOrig="820" w:dyaOrig="620" w14:anchorId="7878926A">
                <v:shape id="_x0000_i1036" type="#_x0000_t75" style="width:41.1pt;height:30.9pt" o:ole="">
                  <v:imagedata r:id="rId28" o:title=""/>
                </v:shape>
                <o:OLEObject Type="Embed" ProgID="Equation.3" ShapeID="_x0000_i1036" DrawAspect="Content" ObjectID="_1627479174" r:id="rId29"/>
              </w:object>
            </w:r>
          </w:p>
        </w:tc>
        <w:tc>
          <w:tcPr>
            <w:tcW w:w="1559" w:type="dxa"/>
            <w:shd w:val="clear" w:color="auto" w:fill="auto"/>
            <w:vAlign w:val="center"/>
          </w:tcPr>
          <w:p w14:paraId="4FFD6DD8" w14:textId="77777777" w:rsidR="00BB79C8" w:rsidRPr="00F829B6" w:rsidRDefault="00BB79C8" w:rsidP="00711D69">
            <w:pPr>
              <w:pStyle w:val="TAC"/>
            </w:pPr>
            <w:r w:rsidRPr="00F829B6">
              <w:t>-</w:t>
            </w:r>
          </w:p>
        </w:tc>
      </w:tr>
    </w:tbl>
    <w:p w14:paraId="596CB97D" w14:textId="77777777" w:rsidR="00BB79C8" w:rsidRDefault="00BB79C8" w:rsidP="00BB79C8">
      <w:pPr>
        <w:rPr>
          <w:bCs/>
        </w:rPr>
      </w:pPr>
    </w:p>
    <w:p w14:paraId="3FF9494D" w14:textId="0BE5AC34" w:rsidR="00BB79C8" w:rsidRDefault="00623635" w:rsidP="00BB79C8">
      <w:pPr>
        <w:rPr>
          <w:bCs/>
        </w:rPr>
      </w:pPr>
      <w:r>
        <w:rPr>
          <w:bCs/>
        </w:rPr>
        <w:t xml:space="preserve">Note that current eMTC UEs supporting TM6 already support the functionality of translating a CRS channel estimation to a beamformed channel estimation. Since BL/CE UEs only support single layer transmission, this functionality is limited to single layer precoders. </w:t>
      </w:r>
    </w:p>
    <w:p w14:paraId="590C6E90" w14:textId="1BB1E258" w:rsidR="00623635" w:rsidRDefault="00623635" w:rsidP="00BB79C8">
      <w:pPr>
        <w:rPr>
          <w:b/>
        </w:rPr>
      </w:pPr>
      <w:r w:rsidRPr="00623635">
        <w:rPr>
          <w:b/>
          <w:u w:val="single"/>
        </w:rPr>
        <w:t>Observation 2:</w:t>
      </w:r>
      <w:r>
        <w:rPr>
          <w:b/>
        </w:rPr>
        <w:t xml:space="preserve"> Rel-13 BL/CE UEs implementing TM6 already support translation of CRS channel estimation to precoded channel estimation based on rank-1 precoders, but not on rank-2 precoders.</w:t>
      </w:r>
    </w:p>
    <w:p w14:paraId="19FDD2BD" w14:textId="74A44ADF" w:rsidR="00623635" w:rsidRDefault="00623635" w:rsidP="00623635">
      <w:pPr>
        <w:rPr>
          <w:bCs/>
        </w:rPr>
      </w:pPr>
      <w:r w:rsidRPr="00623635">
        <w:rPr>
          <w:bCs/>
        </w:rPr>
        <w:t xml:space="preserve">In </w:t>
      </w:r>
      <w:r>
        <w:rPr>
          <w:bCs/>
        </w:rPr>
        <w:t>RAN1#97, some companies</w:t>
      </w:r>
      <w:r w:rsidR="003759A6">
        <w:rPr>
          <w:bCs/>
        </w:rPr>
        <w:t xml:space="preserve"> (e.g. [2])</w:t>
      </w:r>
      <w:r>
        <w:rPr>
          <w:bCs/>
        </w:rPr>
        <w:t xml:space="preserve"> proposed to use 2-layer precoders for the case of distributed transmission. As explained above, current BL/CE UEs do not implement the functionality of deriving a </w:t>
      </w:r>
      <w:r w:rsidR="00495C48">
        <w:rPr>
          <w:bCs/>
        </w:rPr>
        <w:t xml:space="preserve">rank-2 </w:t>
      </w:r>
      <w:r>
        <w:rPr>
          <w:bCs/>
        </w:rPr>
        <w:t>“beamformed” channel from CRS</w:t>
      </w:r>
      <w:r w:rsidR="00495C48">
        <w:rPr>
          <w:bCs/>
        </w:rPr>
        <w:t>. Therefore, implementing rank-2 precoders may result in substantial implementation/</w:t>
      </w:r>
      <w:r w:rsidR="00F8517D">
        <w:rPr>
          <w:bCs/>
        </w:rPr>
        <w:t>verification</w:t>
      </w:r>
      <w:r w:rsidR="00495C48">
        <w:rPr>
          <w:bCs/>
        </w:rPr>
        <w:t xml:space="preserve"> impact that may not be justifiable in terms of performance gain, as we try to show in the following.</w:t>
      </w:r>
    </w:p>
    <w:p w14:paraId="3F1D42D2" w14:textId="74ABFAF5" w:rsidR="00495C48" w:rsidRDefault="00495C48" w:rsidP="00623635">
      <w:pPr>
        <w:rPr>
          <w:bCs/>
        </w:rPr>
      </w:pPr>
      <w:r>
        <w:rPr>
          <w:bCs/>
        </w:rPr>
        <w:t xml:space="preserve">In Table </w:t>
      </w:r>
      <w:r w:rsidR="003759A6">
        <w:rPr>
          <w:bCs/>
        </w:rPr>
        <w:t xml:space="preserve">1 we show the single layer precoders with real entries resulting from Table </w:t>
      </w:r>
      <w:r w:rsidR="003759A6" w:rsidRPr="00F829B6">
        <w:t>6.3.4.2.3-2</w:t>
      </w:r>
      <w:r w:rsidR="003759A6">
        <w:t xml:space="preserve"> in TS 36.211</w:t>
      </w:r>
      <w:r w:rsidR="00FB5968">
        <w:t xml:space="preserve"> (the analysis is restricted to real precoders as they may allow for simpler UE implementation).</w:t>
      </w:r>
    </w:p>
    <w:p w14:paraId="628C2075" w14:textId="3966A6B3" w:rsidR="003759A6" w:rsidRDefault="003759A6" w:rsidP="003759A6">
      <w:pPr>
        <w:pStyle w:val="Caption"/>
        <w:keepNext/>
        <w:jc w:val="center"/>
      </w:pPr>
      <w:r>
        <w:t xml:space="preserve">Table </w:t>
      </w:r>
      <w:r w:rsidR="007C32B2">
        <w:fldChar w:fldCharType="begin"/>
      </w:r>
      <w:r w:rsidR="007C32B2">
        <w:instrText xml:space="preserve"> SEQ Table \* ARABIC </w:instrText>
      </w:r>
      <w:r w:rsidR="007C32B2">
        <w:fldChar w:fldCharType="separate"/>
      </w:r>
      <w:r>
        <w:rPr>
          <w:noProof/>
        </w:rPr>
        <w:t>1</w:t>
      </w:r>
      <w:r w:rsidR="007C32B2">
        <w:rPr>
          <w:noProof/>
        </w:rPr>
        <w:fldChar w:fldCharType="end"/>
      </w:r>
      <w:r>
        <w:t xml:space="preserve"> Single layer precoders</w:t>
      </w:r>
    </w:p>
    <w:tbl>
      <w:tblPr>
        <w:tblStyle w:val="GridTable1Light"/>
        <w:tblW w:w="0" w:type="auto"/>
        <w:jc w:val="center"/>
        <w:tblLook w:val="0420" w:firstRow="1" w:lastRow="0" w:firstColumn="0" w:lastColumn="0" w:noHBand="0" w:noVBand="1"/>
      </w:tblPr>
      <w:tblGrid>
        <w:gridCol w:w="1095"/>
        <w:gridCol w:w="1095"/>
        <w:gridCol w:w="1095"/>
        <w:gridCol w:w="1095"/>
        <w:gridCol w:w="1095"/>
        <w:gridCol w:w="1095"/>
        <w:gridCol w:w="1095"/>
        <w:gridCol w:w="1095"/>
      </w:tblGrid>
      <w:tr w:rsidR="00495C48" w14:paraId="6E57D59D" w14:textId="77777777" w:rsidTr="00F8517D">
        <w:trPr>
          <w:cnfStyle w:val="100000000000" w:firstRow="1" w:lastRow="0" w:firstColumn="0" w:lastColumn="0" w:oddVBand="0" w:evenVBand="0" w:oddHBand="0" w:evenHBand="0" w:firstRowFirstColumn="0" w:firstRowLastColumn="0" w:lastRowFirstColumn="0" w:lastRowLastColumn="0"/>
          <w:jc w:val="center"/>
        </w:trPr>
        <w:tc>
          <w:tcPr>
            <w:tcW w:w="1095" w:type="dxa"/>
          </w:tcPr>
          <w:p w14:paraId="308FAD2F" w14:textId="3112F187" w:rsidR="00495C48" w:rsidRDefault="007C32B2" w:rsidP="00623635">
            <w:pPr>
              <w:rPr>
                <w:bCs w:val="0"/>
              </w:rPr>
            </w:pPr>
            <m:oMathPara>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0</m:t>
                    </m:r>
                  </m:sub>
                  <m:sup>
                    <m:r>
                      <m:rPr>
                        <m:sty m:val="bi"/>
                      </m:rPr>
                      <w:rPr>
                        <w:rFonts w:ascii="Cambria Math" w:hAnsi="Cambria Math"/>
                      </w:rPr>
                      <m:t>{1}</m:t>
                    </m:r>
                  </m:sup>
                </m:sSubSup>
              </m:oMath>
            </m:oMathPara>
          </w:p>
        </w:tc>
        <w:tc>
          <w:tcPr>
            <w:tcW w:w="1095" w:type="dxa"/>
          </w:tcPr>
          <w:p w14:paraId="12F3A185" w14:textId="41559C84" w:rsidR="00495C48" w:rsidRDefault="007C32B2" w:rsidP="00623635">
            <w:pPr>
              <w:rPr>
                <w:bCs w:val="0"/>
              </w:rPr>
            </w:pPr>
            <m:oMathPara>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{1}</m:t>
                    </m:r>
                  </m:sup>
                </m:sSubSup>
              </m:oMath>
            </m:oMathPara>
          </w:p>
        </w:tc>
        <w:tc>
          <w:tcPr>
            <w:tcW w:w="1095" w:type="dxa"/>
          </w:tcPr>
          <w:p w14:paraId="27881CB2" w14:textId="7AB7106F" w:rsidR="00495C48" w:rsidRDefault="007C32B2" w:rsidP="00623635">
            <w:pPr>
              <w:rPr>
                <w:bCs w:val="0"/>
              </w:rPr>
            </w:pPr>
            <m:oMathPara>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8</m:t>
                    </m:r>
                  </m:sub>
                  <m:sup>
                    <m:r>
                      <m:rPr>
                        <m:sty m:val="bi"/>
                      </m:rPr>
                      <w:rPr>
                        <w:rFonts w:ascii="Cambria Math" w:hAnsi="Cambria Math"/>
                      </w:rPr>
                      <m:t>{1}</m:t>
                    </m:r>
                  </m:sup>
                </m:sSubSup>
              </m:oMath>
            </m:oMathPara>
          </w:p>
        </w:tc>
        <w:tc>
          <w:tcPr>
            <w:tcW w:w="1095" w:type="dxa"/>
          </w:tcPr>
          <w:p w14:paraId="2BC1A70A" w14:textId="76E52726" w:rsidR="00495C48" w:rsidRDefault="007C32B2" w:rsidP="00623635">
            <w:pPr>
              <w:rPr>
                <w:bCs w:val="0"/>
              </w:rPr>
            </w:pPr>
            <m:oMathPara>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10</m:t>
                    </m:r>
                  </m:sub>
                  <m:sup>
                    <m:r>
                      <m:rPr>
                        <m:sty m:val="bi"/>
                      </m:rPr>
                      <w:rPr>
                        <w:rFonts w:ascii="Cambria Math" w:hAnsi="Cambria Math"/>
                      </w:rPr>
                      <m:t>{1}</m:t>
                    </m:r>
                  </m:sup>
                </m:sSubSup>
              </m:oMath>
            </m:oMathPara>
          </w:p>
        </w:tc>
        <w:tc>
          <w:tcPr>
            <w:tcW w:w="1095" w:type="dxa"/>
          </w:tcPr>
          <w:p w14:paraId="3F320453" w14:textId="44CF68E1" w:rsidR="00495C48" w:rsidRDefault="007C32B2" w:rsidP="00623635">
            <w:pPr>
              <w:rPr>
                <w:bCs w:val="0"/>
              </w:rPr>
            </w:pPr>
            <m:oMathPara>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12</m:t>
                    </m:r>
                  </m:sub>
                  <m:sup>
                    <m:r>
                      <m:rPr>
                        <m:sty m:val="bi"/>
                      </m:rPr>
                      <w:rPr>
                        <w:rFonts w:ascii="Cambria Math" w:hAnsi="Cambria Math"/>
                      </w:rPr>
                      <m:t>{1}</m:t>
                    </m:r>
                  </m:sup>
                </m:sSubSup>
              </m:oMath>
            </m:oMathPara>
          </w:p>
        </w:tc>
        <w:tc>
          <w:tcPr>
            <w:tcW w:w="1095" w:type="dxa"/>
          </w:tcPr>
          <w:p w14:paraId="7CDCA7E2" w14:textId="419269F5" w:rsidR="00495C48" w:rsidRDefault="007C32B2" w:rsidP="00623635">
            <w:pPr>
              <w:rPr>
                <w:bCs w:val="0"/>
              </w:rPr>
            </w:pPr>
            <m:oMathPara>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13</m:t>
                    </m:r>
                  </m:sub>
                  <m:sup>
                    <m:r>
                      <m:rPr>
                        <m:sty m:val="bi"/>
                      </m:rPr>
                      <w:rPr>
                        <w:rFonts w:ascii="Cambria Math" w:hAnsi="Cambria Math"/>
                      </w:rPr>
                      <m:t>{1}</m:t>
                    </m:r>
                  </m:sup>
                </m:sSubSup>
              </m:oMath>
            </m:oMathPara>
          </w:p>
        </w:tc>
        <w:tc>
          <w:tcPr>
            <w:tcW w:w="1095" w:type="dxa"/>
          </w:tcPr>
          <w:p w14:paraId="38219119" w14:textId="419F6FB6" w:rsidR="00495C48" w:rsidRDefault="007C32B2" w:rsidP="00623635">
            <w:pPr>
              <w:rPr>
                <w:bCs w:val="0"/>
              </w:rPr>
            </w:pPr>
            <m:oMathPara>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14</m:t>
                    </m:r>
                  </m:sub>
                  <m:sup>
                    <m:r>
                      <m:rPr>
                        <m:sty m:val="bi"/>
                      </m:rPr>
                      <w:rPr>
                        <w:rFonts w:ascii="Cambria Math" w:hAnsi="Cambria Math"/>
                      </w:rPr>
                      <m:t>{1}</m:t>
                    </m:r>
                  </m:sup>
                </m:sSubSup>
              </m:oMath>
            </m:oMathPara>
          </w:p>
        </w:tc>
        <w:tc>
          <w:tcPr>
            <w:tcW w:w="1095" w:type="dxa"/>
          </w:tcPr>
          <w:p w14:paraId="7AC839A1" w14:textId="52D93E9B" w:rsidR="00495C48" w:rsidRDefault="007C32B2" w:rsidP="00623635">
            <w:pPr>
              <w:rPr>
                <w:bCs w:val="0"/>
              </w:rPr>
            </w:pPr>
            <m:oMathPara>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15</m:t>
                    </m:r>
                  </m:sub>
                  <m:sup>
                    <m:r>
                      <m:rPr>
                        <m:sty m:val="bi"/>
                      </m:rPr>
                      <w:rPr>
                        <w:rFonts w:ascii="Cambria Math" w:hAnsi="Cambria Math"/>
                      </w:rPr>
                      <m:t>{1}</m:t>
                    </m:r>
                  </m:sup>
                </m:sSubSup>
              </m:oMath>
            </m:oMathPara>
          </w:p>
        </w:tc>
      </w:tr>
      <w:tr w:rsidR="00495C48" w14:paraId="110CD346" w14:textId="77777777" w:rsidTr="00F8517D">
        <w:trPr>
          <w:jc w:val="center"/>
        </w:trPr>
        <w:tc>
          <w:tcPr>
            <w:tcW w:w="1095" w:type="dxa"/>
          </w:tcPr>
          <w:p w14:paraId="475D57C6" w14:textId="08988D7B" w:rsidR="00495C48" w:rsidRDefault="00495C48" w:rsidP="00623635">
            <w:pPr>
              <w:rPr>
                <w:bCs/>
              </w:rPr>
            </w:pPr>
            <w:r>
              <w:rPr>
                <w:bCs/>
              </w:rPr>
              <w:t>1</w:t>
            </w:r>
          </w:p>
        </w:tc>
        <w:tc>
          <w:tcPr>
            <w:tcW w:w="1095" w:type="dxa"/>
          </w:tcPr>
          <w:p w14:paraId="62FD1381" w14:textId="5F785DDB" w:rsidR="00495C48" w:rsidRDefault="00495C48" w:rsidP="00623635">
            <w:pPr>
              <w:rPr>
                <w:bCs/>
              </w:rPr>
            </w:pPr>
            <w:r>
              <w:rPr>
                <w:bCs/>
              </w:rPr>
              <w:t>1</w:t>
            </w:r>
          </w:p>
        </w:tc>
        <w:tc>
          <w:tcPr>
            <w:tcW w:w="1095" w:type="dxa"/>
          </w:tcPr>
          <w:p w14:paraId="21E22E22" w14:textId="27B580EA" w:rsidR="00495C48" w:rsidRDefault="00495C48" w:rsidP="00623635">
            <w:pPr>
              <w:rPr>
                <w:bCs/>
              </w:rPr>
            </w:pPr>
            <w:r>
              <w:rPr>
                <w:bCs/>
              </w:rPr>
              <w:t>1</w:t>
            </w:r>
          </w:p>
        </w:tc>
        <w:tc>
          <w:tcPr>
            <w:tcW w:w="1095" w:type="dxa"/>
          </w:tcPr>
          <w:p w14:paraId="7D1081E6" w14:textId="791F4920" w:rsidR="00495C48" w:rsidRDefault="00495C48" w:rsidP="00623635">
            <w:pPr>
              <w:rPr>
                <w:bCs/>
              </w:rPr>
            </w:pPr>
            <w:r>
              <w:rPr>
                <w:bCs/>
              </w:rPr>
              <w:t>1</w:t>
            </w:r>
          </w:p>
        </w:tc>
        <w:tc>
          <w:tcPr>
            <w:tcW w:w="1095" w:type="dxa"/>
          </w:tcPr>
          <w:p w14:paraId="7D54538E" w14:textId="404552B3" w:rsidR="00495C48" w:rsidRDefault="00495C48" w:rsidP="00623635">
            <w:pPr>
              <w:rPr>
                <w:bCs/>
              </w:rPr>
            </w:pPr>
            <w:r>
              <w:rPr>
                <w:bCs/>
              </w:rPr>
              <w:t>1</w:t>
            </w:r>
          </w:p>
        </w:tc>
        <w:tc>
          <w:tcPr>
            <w:tcW w:w="1095" w:type="dxa"/>
          </w:tcPr>
          <w:p w14:paraId="27166A4B" w14:textId="3E828374" w:rsidR="00495C48" w:rsidRDefault="00495C48" w:rsidP="00623635">
            <w:pPr>
              <w:rPr>
                <w:bCs/>
              </w:rPr>
            </w:pPr>
            <w:r>
              <w:rPr>
                <w:bCs/>
              </w:rPr>
              <w:t>1</w:t>
            </w:r>
          </w:p>
        </w:tc>
        <w:tc>
          <w:tcPr>
            <w:tcW w:w="1095" w:type="dxa"/>
          </w:tcPr>
          <w:p w14:paraId="21F894E4" w14:textId="2FF9DE98" w:rsidR="00495C48" w:rsidRDefault="00495C48" w:rsidP="00623635">
            <w:pPr>
              <w:rPr>
                <w:bCs/>
              </w:rPr>
            </w:pPr>
            <w:r>
              <w:rPr>
                <w:bCs/>
              </w:rPr>
              <w:t>1</w:t>
            </w:r>
          </w:p>
        </w:tc>
        <w:tc>
          <w:tcPr>
            <w:tcW w:w="1095" w:type="dxa"/>
          </w:tcPr>
          <w:p w14:paraId="5874B9E8" w14:textId="1FDD44D0" w:rsidR="00495C48" w:rsidRDefault="00495C48" w:rsidP="00623635">
            <w:pPr>
              <w:rPr>
                <w:bCs/>
              </w:rPr>
            </w:pPr>
            <w:r>
              <w:rPr>
                <w:bCs/>
              </w:rPr>
              <w:t>1</w:t>
            </w:r>
          </w:p>
        </w:tc>
      </w:tr>
      <w:tr w:rsidR="00495C48" w14:paraId="0DEA6C93" w14:textId="77777777" w:rsidTr="00F8517D">
        <w:trPr>
          <w:jc w:val="center"/>
        </w:trPr>
        <w:tc>
          <w:tcPr>
            <w:tcW w:w="1095" w:type="dxa"/>
          </w:tcPr>
          <w:p w14:paraId="2C7206FF" w14:textId="06A5A001" w:rsidR="00495C48" w:rsidRDefault="00495C48" w:rsidP="00623635">
            <w:pPr>
              <w:rPr>
                <w:bCs/>
              </w:rPr>
            </w:pPr>
            <w:r>
              <w:rPr>
                <w:bCs/>
              </w:rPr>
              <w:t>1</w:t>
            </w:r>
          </w:p>
        </w:tc>
        <w:tc>
          <w:tcPr>
            <w:tcW w:w="1095" w:type="dxa"/>
          </w:tcPr>
          <w:p w14:paraId="2D83339D" w14:textId="376EF0D0" w:rsidR="00495C48" w:rsidRDefault="00495C48" w:rsidP="00623635">
            <w:pPr>
              <w:rPr>
                <w:bCs/>
              </w:rPr>
            </w:pPr>
            <w:r>
              <w:rPr>
                <w:bCs/>
              </w:rPr>
              <w:t>-1</w:t>
            </w:r>
          </w:p>
        </w:tc>
        <w:tc>
          <w:tcPr>
            <w:tcW w:w="1095" w:type="dxa"/>
          </w:tcPr>
          <w:p w14:paraId="1D5FD2BF" w14:textId="36191DE0" w:rsidR="00495C48" w:rsidRDefault="00495C48" w:rsidP="00623635">
            <w:pPr>
              <w:rPr>
                <w:bCs/>
              </w:rPr>
            </w:pPr>
            <w:r>
              <w:rPr>
                <w:bCs/>
              </w:rPr>
              <w:t>1</w:t>
            </w:r>
          </w:p>
        </w:tc>
        <w:tc>
          <w:tcPr>
            <w:tcW w:w="1095" w:type="dxa"/>
          </w:tcPr>
          <w:p w14:paraId="0024B285" w14:textId="0487A415" w:rsidR="00495C48" w:rsidRDefault="00495C48" w:rsidP="00623635">
            <w:pPr>
              <w:rPr>
                <w:bCs/>
              </w:rPr>
            </w:pPr>
            <w:r>
              <w:rPr>
                <w:bCs/>
              </w:rPr>
              <w:t>-1</w:t>
            </w:r>
          </w:p>
        </w:tc>
        <w:tc>
          <w:tcPr>
            <w:tcW w:w="1095" w:type="dxa"/>
          </w:tcPr>
          <w:p w14:paraId="1AE15696" w14:textId="62AE5F04" w:rsidR="00495C48" w:rsidRDefault="00495C48" w:rsidP="00623635">
            <w:pPr>
              <w:rPr>
                <w:bCs/>
              </w:rPr>
            </w:pPr>
            <w:r>
              <w:rPr>
                <w:bCs/>
              </w:rPr>
              <w:t>1</w:t>
            </w:r>
          </w:p>
        </w:tc>
        <w:tc>
          <w:tcPr>
            <w:tcW w:w="1095" w:type="dxa"/>
          </w:tcPr>
          <w:p w14:paraId="51C369CC" w14:textId="56800ECB" w:rsidR="00495C48" w:rsidRDefault="00495C48" w:rsidP="00623635">
            <w:pPr>
              <w:rPr>
                <w:bCs/>
              </w:rPr>
            </w:pPr>
            <w:r>
              <w:rPr>
                <w:bCs/>
              </w:rPr>
              <w:t>1</w:t>
            </w:r>
          </w:p>
        </w:tc>
        <w:tc>
          <w:tcPr>
            <w:tcW w:w="1095" w:type="dxa"/>
          </w:tcPr>
          <w:p w14:paraId="50BE8CE7" w14:textId="4E088F02" w:rsidR="00495C48" w:rsidRDefault="00495C48" w:rsidP="00623635">
            <w:pPr>
              <w:rPr>
                <w:bCs/>
              </w:rPr>
            </w:pPr>
            <w:r>
              <w:rPr>
                <w:bCs/>
              </w:rPr>
              <w:t>-1</w:t>
            </w:r>
          </w:p>
        </w:tc>
        <w:tc>
          <w:tcPr>
            <w:tcW w:w="1095" w:type="dxa"/>
          </w:tcPr>
          <w:p w14:paraId="393052EF" w14:textId="2937A897" w:rsidR="00495C48" w:rsidRDefault="00495C48" w:rsidP="00623635">
            <w:pPr>
              <w:rPr>
                <w:bCs/>
              </w:rPr>
            </w:pPr>
            <w:r>
              <w:rPr>
                <w:bCs/>
              </w:rPr>
              <w:t>-1</w:t>
            </w:r>
          </w:p>
        </w:tc>
      </w:tr>
      <w:tr w:rsidR="00495C48" w14:paraId="1DC2E91B" w14:textId="77777777" w:rsidTr="00F8517D">
        <w:trPr>
          <w:jc w:val="center"/>
        </w:trPr>
        <w:tc>
          <w:tcPr>
            <w:tcW w:w="1095" w:type="dxa"/>
          </w:tcPr>
          <w:p w14:paraId="322CFC29" w14:textId="574B82D8" w:rsidR="00495C48" w:rsidRDefault="00495C48" w:rsidP="00623635">
            <w:pPr>
              <w:rPr>
                <w:bCs/>
              </w:rPr>
            </w:pPr>
            <w:r>
              <w:rPr>
                <w:bCs/>
              </w:rPr>
              <w:t>1</w:t>
            </w:r>
          </w:p>
        </w:tc>
        <w:tc>
          <w:tcPr>
            <w:tcW w:w="1095" w:type="dxa"/>
          </w:tcPr>
          <w:p w14:paraId="02D27D1A" w14:textId="06E77815" w:rsidR="00495C48" w:rsidRDefault="00495C48" w:rsidP="00623635">
            <w:pPr>
              <w:rPr>
                <w:bCs/>
              </w:rPr>
            </w:pPr>
            <w:r>
              <w:rPr>
                <w:bCs/>
              </w:rPr>
              <w:t>1</w:t>
            </w:r>
          </w:p>
        </w:tc>
        <w:tc>
          <w:tcPr>
            <w:tcW w:w="1095" w:type="dxa"/>
          </w:tcPr>
          <w:p w14:paraId="6015F781" w14:textId="2010797C" w:rsidR="00495C48" w:rsidRDefault="00495C48" w:rsidP="00623635">
            <w:pPr>
              <w:rPr>
                <w:bCs/>
              </w:rPr>
            </w:pPr>
            <w:r>
              <w:rPr>
                <w:bCs/>
              </w:rPr>
              <w:t>-1</w:t>
            </w:r>
          </w:p>
        </w:tc>
        <w:tc>
          <w:tcPr>
            <w:tcW w:w="1095" w:type="dxa"/>
          </w:tcPr>
          <w:p w14:paraId="45C4FE63" w14:textId="3A0CF159" w:rsidR="00495C48" w:rsidRDefault="00495C48" w:rsidP="00623635">
            <w:pPr>
              <w:rPr>
                <w:bCs/>
              </w:rPr>
            </w:pPr>
            <w:r>
              <w:rPr>
                <w:bCs/>
              </w:rPr>
              <w:t>-1</w:t>
            </w:r>
          </w:p>
        </w:tc>
        <w:tc>
          <w:tcPr>
            <w:tcW w:w="1095" w:type="dxa"/>
          </w:tcPr>
          <w:p w14:paraId="315FE35F" w14:textId="1D93BFB9" w:rsidR="00495C48" w:rsidRDefault="00495C48" w:rsidP="00623635">
            <w:pPr>
              <w:rPr>
                <w:bCs/>
              </w:rPr>
            </w:pPr>
            <w:r>
              <w:rPr>
                <w:bCs/>
              </w:rPr>
              <w:t>1</w:t>
            </w:r>
          </w:p>
        </w:tc>
        <w:tc>
          <w:tcPr>
            <w:tcW w:w="1095" w:type="dxa"/>
          </w:tcPr>
          <w:p w14:paraId="46A29152" w14:textId="46ABA0B4" w:rsidR="00495C48" w:rsidRDefault="00495C48" w:rsidP="00623635">
            <w:pPr>
              <w:rPr>
                <w:bCs/>
              </w:rPr>
            </w:pPr>
            <w:r>
              <w:rPr>
                <w:bCs/>
              </w:rPr>
              <w:t>-1</w:t>
            </w:r>
          </w:p>
        </w:tc>
        <w:tc>
          <w:tcPr>
            <w:tcW w:w="1095" w:type="dxa"/>
          </w:tcPr>
          <w:p w14:paraId="65ADE083" w14:textId="4140F45B" w:rsidR="00495C48" w:rsidRDefault="00495C48" w:rsidP="00623635">
            <w:pPr>
              <w:rPr>
                <w:bCs/>
              </w:rPr>
            </w:pPr>
            <w:r>
              <w:rPr>
                <w:bCs/>
              </w:rPr>
              <w:t>1</w:t>
            </w:r>
          </w:p>
        </w:tc>
        <w:tc>
          <w:tcPr>
            <w:tcW w:w="1095" w:type="dxa"/>
          </w:tcPr>
          <w:p w14:paraId="5A8AE6BE" w14:textId="1B8B498F" w:rsidR="00495C48" w:rsidRDefault="00495C48" w:rsidP="00623635">
            <w:pPr>
              <w:rPr>
                <w:bCs/>
              </w:rPr>
            </w:pPr>
            <w:r>
              <w:rPr>
                <w:bCs/>
              </w:rPr>
              <w:t>-1</w:t>
            </w:r>
          </w:p>
        </w:tc>
      </w:tr>
      <w:tr w:rsidR="00495C48" w14:paraId="634BA23C" w14:textId="77777777" w:rsidTr="00F8517D">
        <w:trPr>
          <w:jc w:val="center"/>
        </w:trPr>
        <w:tc>
          <w:tcPr>
            <w:tcW w:w="1095" w:type="dxa"/>
          </w:tcPr>
          <w:p w14:paraId="0BFEC35F" w14:textId="4991C6CB" w:rsidR="00495C48" w:rsidRDefault="00495C48" w:rsidP="00623635">
            <w:pPr>
              <w:rPr>
                <w:bCs/>
              </w:rPr>
            </w:pPr>
            <w:r>
              <w:rPr>
                <w:bCs/>
              </w:rPr>
              <w:t>1</w:t>
            </w:r>
          </w:p>
        </w:tc>
        <w:tc>
          <w:tcPr>
            <w:tcW w:w="1095" w:type="dxa"/>
          </w:tcPr>
          <w:p w14:paraId="4799BE39" w14:textId="0434623A" w:rsidR="00495C48" w:rsidRDefault="00495C48" w:rsidP="00623635">
            <w:pPr>
              <w:rPr>
                <w:bCs/>
              </w:rPr>
            </w:pPr>
            <w:r>
              <w:rPr>
                <w:bCs/>
              </w:rPr>
              <w:t>-1</w:t>
            </w:r>
          </w:p>
        </w:tc>
        <w:tc>
          <w:tcPr>
            <w:tcW w:w="1095" w:type="dxa"/>
          </w:tcPr>
          <w:p w14:paraId="702358B6" w14:textId="35C157F7" w:rsidR="00495C48" w:rsidRDefault="00495C48" w:rsidP="00623635">
            <w:pPr>
              <w:rPr>
                <w:bCs/>
              </w:rPr>
            </w:pPr>
            <w:r>
              <w:rPr>
                <w:bCs/>
              </w:rPr>
              <w:t>-1</w:t>
            </w:r>
          </w:p>
        </w:tc>
        <w:tc>
          <w:tcPr>
            <w:tcW w:w="1095" w:type="dxa"/>
          </w:tcPr>
          <w:p w14:paraId="170F2D50" w14:textId="55586563" w:rsidR="00495C48" w:rsidRDefault="00495C48" w:rsidP="00623635">
            <w:pPr>
              <w:rPr>
                <w:bCs/>
              </w:rPr>
            </w:pPr>
            <w:r>
              <w:rPr>
                <w:bCs/>
              </w:rPr>
              <w:t>1</w:t>
            </w:r>
          </w:p>
        </w:tc>
        <w:tc>
          <w:tcPr>
            <w:tcW w:w="1095" w:type="dxa"/>
          </w:tcPr>
          <w:p w14:paraId="3C4A1ED2" w14:textId="31D31D80" w:rsidR="00495C48" w:rsidRDefault="00495C48" w:rsidP="00623635">
            <w:pPr>
              <w:rPr>
                <w:bCs/>
              </w:rPr>
            </w:pPr>
            <w:r>
              <w:rPr>
                <w:bCs/>
              </w:rPr>
              <w:t>-1</w:t>
            </w:r>
          </w:p>
        </w:tc>
        <w:tc>
          <w:tcPr>
            <w:tcW w:w="1095" w:type="dxa"/>
          </w:tcPr>
          <w:p w14:paraId="028D2015" w14:textId="0B1F728C" w:rsidR="00495C48" w:rsidRDefault="00495C48" w:rsidP="00623635">
            <w:pPr>
              <w:rPr>
                <w:bCs/>
              </w:rPr>
            </w:pPr>
            <w:r>
              <w:rPr>
                <w:bCs/>
              </w:rPr>
              <w:t>1</w:t>
            </w:r>
          </w:p>
        </w:tc>
        <w:tc>
          <w:tcPr>
            <w:tcW w:w="1095" w:type="dxa"/>
          </w:tcPr>
          <w:p w14:paraId="7B14652C" w14:textId="507A1D6E" w:rsidR="00495C48" w:rsidRDefault="00495C48" w:rsidP="00623635">
            <w:pPr>
              <w:rPr>
                <w:bCs/>
              </w:rPr>
            </w:pPr>
            <w:r>
              <w:rPr>
                <w:bCs/>
              </w:rPr>
              <w:t>1</w:t>
            </w:r>
          </w:p>
        </w:tc>
        <w:tc>
          <w:tcPr>
            <w:tcW w:w="1095" w:type="dxa"/>
          </w:tcPr>
          <w:p w14:paraId="587A34E2" w14:textId="4A8746F6" w:rsidR="00495C48" w:rsidRDefault="00495C48" w:rsidP="00623635">
            <w:pPr>
              <w:rPr>
                <w:bCs/>
              </w:rPr>
            </w:pPr>
            <w:r>
              <w:rPr>
                <w:bCs/>
              </w:rPr>
              <w:t>-1</w:t>
            </w:r>
          </w:p>
        </w:tc>
      </w:tr>
    </w:tbl>
    <w:p w14:paraId="70D444A5" w14:textId="4BE87267" w:rsidR="00495C48" w:rsidRDefault="00495C48" w:rsidP="00623635">
      <w:pPr>
        <w:rPr>
          <w:bCs/>
        </w:rPr>
      </w:pPr>
    </w:p>
    <w:p w14:paraId="2F79ADDD" w14:textId="5C9C4A0F" w:rsidR="003759A6" w:rsidRDefault="003759A6" w:rsidP="00623635">
      <w:pPr>
        <w:rPr>
          <w:bCs/>
        </w:rPr>
      </w:pPr>
      <w:r>
        <w:rPr>
          <w:bCs/>
        </w:rPr>
        <w:t>It can be seen that, in general, not all 2-layer precoders can be built from concatenating pairs of 1-layer precoders, but an equivalent precoder with a same performance can be found.</w:t>
      </w:r>
    </w:p>
    <w:p w14:paraId="72D21822" w14:textId="62D9CC24" w:rsidR="003759A6" w:rsidRDefault="003759A6" w:rsidP="00623635">
      <w:pPr>
        <w:rPr>
          <w:bCs/>
        </w:rPr>
      </w:pPr>
      <w:r>
        <w:rPr>
          <w:bCs/>
        </w:rPr>
        <w:t>For example, consider one of the examples from [2] – rank-2 precoder with index 13. This precoder is as follows:</w:t>
      </w:r>
    </w:p>
    <w:p w14:paraId="00D0CEC3" w14:textId="74BBE56B" w:rsidR="003759A6" w:rsidRDefault="007C32B2" w:rsidP="00623635">
      <w:pPr>
        <w:rPr>
          <w:bCs/>
        </w:rPr>
      </w:pPr>
      <m:oMathPara>
        <m:oMath>
          <m:sSubSup>
            <m:sSubSupPr>
              <m:ctrlPr>
                <w:rPr>
                  <w:rFonts w:ascii="Cambria Math" w:hAnsi="Cambria Math"/>
                  <w:bCs/>
                  <w:i/>
                </w:rPr>
              </m:ctrlPr>
            </m:sSubSupPr>
            <m:e>
              <m:r>
                <m:rPr>
                  <m:sty m:val="bi"/>
                </m:rPr>
                <w:rPr>
                  <w:rFonts w:ascii="Cambria Math" w:hAnsi="Cambria Math"/>
                </w:rPr>
                <m:t>W</m:t>
              </m:r>
              <m:ctrlPr>
                <w:rPr>
                  <w:rFonts w:ascii="Cambria Math" w:hAnsi="Cambria Math"/>
                  <w:b/>
                  <w:i/>
                </w:rPr>
              </m:ctrlPr>
            </m:e>
            <m:sub>
              <m:r>
                <w:rPr>
                  <w:rFonts w:ascii="Cambria Math" w:hAnsi="Cambria Math"/>
                </w:rPr>
                <m:t>13</m:t>
              </m:r>
            </m:sub>
            <m:sup>
              <m:r>
                <w:rPr>
                  <w:rFonts w:ascii="Cambria Math" w:hAnsi="Cambria Math"/>
                </w:rPr>
                <m:t>{13}</m:t>
              </m:r>
            </m:sup>
          </m:sSubSup>
          <m:r>
            <w:rPr>
              <w:rFonts w:ascii="Cambria Math" w:hAnsi="Cambria Math"/>
            </w:rPr>
            <m:t>=</m:t>
          </m:r>
          <m:d>
            <m:dPr>
              <m:begChr m:val="["/>
              <m:endChr m:val="]"/>
              <m:ctrlPr>
                <w:rPr>
                  <w:rFonts w:ascii="Cambria Math" w:hAnsi="Cambria Math"/>
                  <w:bCs/>
                  <w:i/>
                </w:rPr>
              </m:ctrlPr>
            </m:dPr>
            <m:e>
              <m:m>
                <m:mPr>
                  <m:mcs>
                    <m:mc>
                      <m:mcPr>
                        <m:count m:val="2"/>
                        <m:mcJc m:val="center"/>
                      </m:mcPr>
                    </m:mc>
                  </m:mcs>
                  <m:ctrlPr>
                    <w:rPr>
                      <w:rFonts w:ascii="Cambria Math" w:hAnsi="Cambria Math"/>
                      <w:bCs/>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r>
                  <m:e>
                    <m:m>
                      <m:mPr>
                        <m:mcs>
                          <m:mc>
                            <m:mcPr>
                              <m:count m:val="1"/>
                              <m:mcJc m:val="center"/>
                            </m:mcPr>
                          </m:mc>
                        </m:mcs>
                        <m:ctrlPr>
                          <w:rPr>
                            <w:rFonts w:ascii="Cambria Math" w:hAnsi="Cambria Math"/>
                            <w:bCs/>
                            <w:i/>
                          </w:rPr>
                        </m:ctrlPr>
                      </m:mPr>
                      <m:mr>
                        <m:e>
                          <m:r>
                            <w:rPr>
                              <w:rFonts w:ascii="Cambria Math" w:hAnsi="Cambria Math"/>
                            </w:rPr>
                            <m:t>-1</m:t>
                          </m:r>
                        </m:e>
                      </m:mr>
                      <m:mr>
                        <m:e>
                          <m:r>
                            <w:rPr>
                              <w:rFonts w:ascii="Cambria Math" w:hAnsi="Cambria Math"/>
                            </w:rPr>
                            <m:t>1</m:t>
                          </m:r>
                        </m:e>
                      </m:mr>
                    </m:m>
                  </m:e>
                  <m:e>
                    <m:m>
                      <m:mPr>
                        <m:mcs>
                          <m:mc>
                            <m:mcPr>
                              <m:count m:val="1"/>
                              <m:mcJc m:val="center"/>
                            </m:mcPr>
                          </m:mc>
                        </m:mcs>
                        <m:ctrlPr>
                          <w:rPr>
                            <w:rFonts w:ascii="Cambria Math" w:hAnsi="Cambria Math"/>
                            <w:bCs/>
                            <w:i/>
                          </w:rPr>
                        </m:ctrlPr>
                      </m:mPr>
                      <m:mr>
                        <m:e>
                          <m:r>
                            <w:rPr>
                              <w:rFonts w:ascii="Cambria Math" w:hAnsi="Cambria Math"/>
                            </w:rPr>
                            <m:t>1</m:t>
                          </m:r>
                        </m:e>
                      </m:mr>
                      <m:mr>
                        <m:e>
                          <m:r>
                            <w:rPr>
                              <w:rFonts w:ascii="Cambria Math" w:hAnsi="Cambria Math"/>
                            </w:rPr>
                            <m:t>1</m:t>
                          </m:r>
                        </m:e>
                      </m:mr>
                    </m:m>
                  </m:e>
                </m:mr>
              </m:m>
            </m:e>
          </m:d>
        </m:oMath>
      </m:oMathPara>
    </w:p>
    <w:p w14:paraId="7FFEB84F" w14:textId="217D1C85" w:rsidR="00495C48" w:rsidRDefault="00F8517D" w:rsidP="003759A6">
      <w:r>
        <w:t>Which can’t be built from a pair of rank-1 precoders, since the first element of the second column is “-1”. However, note that</w:t>
      </w:r>
    </w:p>
    <w:p w14:paraId="57BBE0E6" w14:textId="6E8F1E22" w:rsidR="00F8517D" w:rsidRPr="00F8517D" w:rsidRDefault="007C32B2" w:rsidP="003759A6">
      <w:pPr>
        <w:rPr>
          <w:bCs/>
        </w:rPr>
      </w:pPr>
      <m:oMathPara>
        <m:oMath>
          <m:sSubSup>
            <m:sSubSupPr>
              <m:ctrlPr>
                <w:rPr>
                  <w:rFonts w:ascii="Cambria Math" w:hAnsi="Cambria Math"/>
                  <w:bCs/>
                  <w:i/>
                </w:rPr>
              </m:ctrlPr>
            </m:sSubSupPr>
            <m:e>
              <m:r>
                <m:rPr>
                  <m:sty m:val="bi"/>
                </m:rPr>
                <w:rPr>
                  <w:rFonts w:ascii="Cambria Math" w:hAnsi="Cambria Math"/>
                </w:rPr>
                <m:t>W</m:t>
              </m:r>
              <m:ctrlPr>
                <w:rPr>
                  <w:rFonts w:ascii="Cambria Math" w:hAnsi="Cambria Math"/>
                  <w:b/>
                  <w:i/>
                </w:rPr>
              </m:ctrlPr>
            </m:e>
            <m:sub>
              <m:r>
                <w:rPr>
                  <w:rFonts w:ascii="Cambria Math" w:hAnsi="Cambria Math"/>
                </w:rPr>
                <m:t>13</m:t>
              </m:r>
            </m:sub>
            <m:sup>
              <m:r>
                <w:rPr>
                  <w:rFonts w:ascii="Cambria Math" w:hAnsi="Cambria Math"/>
                </w:rPr>
                <m:t>{13}</m:t>
              </m:r>
            </m:sup>
          </m:sSubSup>
          <m:r>
            <w:rPr>
              <w:rFonts w:ascii="Cambria Math" w:hAnsi="Cambria Math"/>
            </w:rPr>
            <m:t>=</m:t>
          </m:r>
          <m:d>
            <m:dPr>
              <m:begChr m:val="["/>
              <m:endChr m:val="]"/>
              <m:ctrlPr>
                <w:rPr>
                  <w:rFonts w:ascii="Cambria Math" w:hAnsi="Cambria Math"/>
                  <w:bCs/>
                  <w:i/>
                </w:rPr>
              </m:ctrlPr>
            </m:dPr>
            <m:e>
              <m:m>
                <m:mPr>
                  <m:mcs>
                    <m:mc>
                      <m:mcPr>
                        <m:count m:val="2"/>
                        <m:mcJc m:val="center"/>
                      </m:mcPr>
                    </m:mc>
                  </m:mcs>
                  <m:ctrlPr>
                    <w:rPr>
                      <w:rFonts w:ascii="Cambria Math" w:hAnsi="Cambria Math"/>
                      <w:bCs/>
                      <w:i/>
                    </w:rPr>
                  </m:ctrlPr>
                </m:mPr>
                <m:mr>
                  <m:e>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13</m:t>
                        </m:r>
                      </m:sub>
                      <m:sup>
                        <m:r>
                          <w:rPr>
                            <w:rFonts w:ascii="Cambria Math" w:hAnsi="Cambria Math"/>
                          </w:rPr>
                          <m:t>{</m:t>
                        </m:r>
                        <m:r>
                          <m:rPr>
                            <m:sty m:val="bi"/>
                          </m:rPr>
                          <w:rPr>
                            <w:rFonts w:ascii="Cambria Math" w:hAnsi="Cambria Math"/>
                          </w:rPr>
                          <m:t>1</m:t>
                        </m:r>
                        <m:r>
                          <w:rPr>
                            <w:rFonts w:ascii="Cambria Math" w:hAnsi="Cambria Math"/>
                          </w:rPr>
                          <m:t>}</m:t>
                        </m:r>
                      </m:sup>
                    </m:sSubSup>
                  </m:e>
                  <m:e>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15</m:t>
                        </m:r>
                      </m:sub>
                      <m:sup>
                        <m:r>
                          <w:rPr>
                            <w:rFonts w:ascii="Cambria Math" w:hAnsi="Cambria Math"/>
                          </w:rPr>
                          <m:t>{</m:t>
                        </m:r>
                        <m:r>
                          <m:rPr>
                            <m:sty m:val="bi"/>
                          </m:rPr>
                          <w:rPr>
                            <w:rFonts w:ascii="Cambria Math" w:hAnsi="Cambria Math"/>
                          </w:rPr>
                          <m:t>1</m:t>
                        </m:r>
                        <m:r>
                          <w:rPr>
                            <w:rFonts w:ascii="Cambria Math" w:hAnsi="Cambria Math"/>
                          </w:rPr>
                          <m:t>}</m:t>
                        </m:r>
                      </m:sup>
                    </m:sSubSup>
                  </m:e>
                </m:mr>
              </m:m>
            </m:e>
          </m:d>
          <m:r>
            <w:rPr>
              <w:rFonts w:ascii="Cambria Math" w:hAnsi="Cambria Math"/>
            </w:rPr>
            <m:t>.</m:t>
          </m:r>
        </m:oMath>
      </m:oMathPara>
    </w:p>
    <w:p w14:paraId="2CA9A62B" w14:textId="11D524F8" w:rsidR="00F8517D" w:rsidRDefault="00F8517D" w:rsidP="003759A6">
      <w:pPr>
        <w:rPr>
          <w:bCs/>
        </w:rPr>
      </w:pPr>
      <w:r>
        <w:rPr>
          <w:bCs/>
        </w:rPr>
        <w:t>The only difference in these precoders, therefore, is that the second layer would be multiplied by “-1” with respect to the rank1 precoder. The same equivalence can be found for all other 2-layer precoders.</w:t>
      </w:r>
    </w:p>
    <w:p w14:paraId="5ABF6DE8" w14:textId="444BEE7E" w:rsidR="00623635" w:rsidRPr="00623635" w:rsidRDefault="00623635" w:rsidP="00623635">
      <w:pPr>
        <w:rPr>
          <w:b/>
        </w:rPr>
      </w:pPr>
      <w:r w:rsidRPr="00623635">
        <w:rPr>
          <w:b/>
          <w:u w:val="single"/>
        </w:rPr>
        <w:lastRenderedPageBreak/>
        <w:t xml:space="preserve">Observation </w:t>
      </w:r>
      <w:r>
        <w:rPr>
          <w:b/>
          <w:u w:val="single"/>
        </w:rPr>
        <w:t>3</w:t>
      </w:r>
      <w:r w:rsidRPr="00623635">
        <w:rPr>
          <w:b/>
          <w:u w:val="single"/>
        </w:rPr>
        <w:t>:</w:t>
      </w:r>
      <w:r>
        <w:rPr>
          <w:b/>
        </w:rPr>
        <w:t xml:space="preserve"> In the case of 4 CRS ports, </w:t>
      </w:r>
      <w:r w:rsidR="00DB32EB">
        <w:rPr>
          <w:b/>
        </w:rPr>
        <w:t xml:space="preserve">and </w:t>
      </w:r>
      <w:r>
        <w:rPr>
          <w:b/>
        </w:rPr>
        <w:t xml:space="preserve">for any rank-2 real precoder (precoder indices {0,2,8,10,12,13,14,15}) </w:t>
      </w:r>
      <w:r w:rsidR="00DB32EB">
        <w:rPr>
          <w:b/>
        </w:rPr>
        <w:t>there is</w:t>
      </w:r>
      <w:r>
        <w:rPr>
          <w:b/>
        </w:rPr>
        <w:t xml:space="preserve"> an equivalent pair of two rank-1 precoders that offer the same performance (the precoders are equal except for a </w:t>
      </w:r>
      <w:r w:rsidR="00F8517D">
        <w:rPr>
          <w:b/>
        </w:rPr>
        <w:t>sign change in some of the columns</w:t>
      </w:r>
      <w:r>
        <w:rPr>
          <w:b/>
        </w:rPr>
        <w:t>)</w:t>
      </w:r>
    </w:p>
    <w:p w14:paraId="7E40CAEB" w14:textId="38F7F95D" w:rsidR="00BB79C8" w:rsidRDefault="00623635" w:rsidP="00BB79C8">
      <w:pPr>
        <w:rPr>
          <w:b/>
        </w:rPr>
      </w:pPr>
      <w:r w:rsidRPr="00623635">
        <w:rPr>
          <w:b/>
          <w:u w:val="single"/>
        </w:rPr>
        <w:t>Proposal 4:</w:t>
      </w:r>
      <w:r>
        <w:rPr>
          <w:b/>
          <w:u w:val="single"/>
        </w:rPr>
        <w:t xml:space="preserve"> </w:t>
      </w:r>
      <w:r>
        <w:rPr>
          <w:b/>
        </w:rPr>
        <w:t xml:space="preserve">For distributed operation, the precoder cycling is based on real rank-1 precoders. </w:t>
      </w:r>
    </w:p>
    <w:p w14:paraId="69A2B5D2" w14:textId="15E4762F" w:rsidR="00E96DDC" w:rsidRDefault="00E96DDC" w:rsidP="00BB79C8">
      <w:pPr>
        <w:rPr>
          <w:bCs/>
        </w:rPr>
      </w:pPr>
      <w:r w:rsidRPr="00E96DDC">
        <w:rPr>
          <w:bCs/>
        </w:rPr>
        <w:t xml:space="preserve">Any </w:t>
      </w:r>
      <w:r>
        <w:rPr>
          <w:bCs/>
        </w:rPr>
        <w:t xml:space="preserve">set of 4 orthogonal precoders should provide the same performance. </w:t>
      </w:r>
      <w:r w:rsidR="00FB5968">
        <w:rPr>
          <w:bCs/>
        </w:rPr>
        <w:t>We</w:t>
      </w:r>
      <w:bookmarkStart w:id="2" w:name="_GoBack"/>
      <w:bookmarkEnd w:id="2"/>
      <w:r>
        <w:rPr>
          <w:bCs/>
        </w:rPr>
        <w:t xml:space="preserve"> propose to use the </w:t>
      </w:r>
      <w:r w:rsidR="00FB5968">
        <w:rPr>
          <w:bCs/>
        </w:rPr>
        <w:t>last</w:t>
      </w:r>
      <w:r>
        <w:rPr>
          <w:bCs/>
        </w:rPr>
        <w:t xml:space="preserve"> 4 precoders in Table 1.</w:t>
      </w:r>
    </w:p>
    <w:p w14:paraId="0BCD69D0" w14:textId="13637846" w:rsidR="00E96DDC" w:rsidRPr="00E96DDC" w:rsidRDefault="00E96DDC" w:rsidP="00BB79C8">
      <w:pPr>
        <w:rPr>
          <w:b/>
        </w:rPr>
      </w:pPr>
      <w:r w:rsidRPr="00E96DDC">
        <w:rPr>
          <w:b/>
          <w:u w:val="single"/>
        </w:rPr>
        <w:t>Proposal 5:</w:t>
      </w:r>
      <w:r>
        <w:rPr>
          <w:b/>
        </w:rPr>
        <w:t xml:space="preserve"> For distributed operation and 4 CRS ports, use rank-1 precoders with indices {</w:t>
      </w:r>
      <w:r w:rsidR="006E1B37">
        <w:rPr>
          <w:b/>
        </w:rPr>
        <w:t>12,13,14,15</w:t>
      </w:r>
      <w:r>
        <w:rPr>
          <w:b/>
        </w:rPr>
        <w:t>} in Table</w:t>
      </w:r>
      <w:r w:rsidRPr="00E96DDC">
        <w:rPr>
          <w:b/>
          <w:bCs/>
        </w:rPr>
        <w:t xml:space="preserve"> 6.3.4.2.3-2 of TS 36.213.</w:t>
      </w:r>
    </w:p>
    <w:p w14:paraId="5F63FB21" w14:textId="5963A498" w:rsidR="00E96DDC" w:rsidRDefault="00E96DDC" w:rsidP="00BB79C8">
      <w:pPr>
        <w:rPr>
          <w:bCs/>
        </w:rPr>
      </w:pPr>
      <w:r w:rsidRPr="00E96DDC">
        <w:rPr>
          <w:bCs/>
        </w:rPr>
        <w:t>Anoth</w:t>
      </w:r>
      <w:r>
        <w:rPr>
          <w:bCs/>
        </w:rPr>
        <w:t>er remaining issue is what to do in the case of single CRS port. In this case, since there is no spatial degree of freedom, we propose to specify that CRS port zero is equivalent to any DMRS port.</w:t>
      </w:r>
    </w:p>
    <w:p w14:paraId="064A15FD" w14:textId="69E02FB7" w:rsidR="00E96DDC" w:rsidRPr="00E96DDC" w:rsidRDefault="00E96DDC" w:rsidP="00BB79C8">
      <w:pPr>
        <w:rPr>
          <w:b/>
        </w:rPr>
      </w:pPr>
      <w:r w:rsidRPr="00E96DDC">
        <w:rPr>
          <w:b/>
          <w:u w:val="single"/>
        </w:rPr>
        <w:t>Proposal 6:</w:t>
      </w:r>
      <w:r>
        <w:rPr>
          <w:b/>
        </w:rPr>
        <w:t xml:space="preserve"> For single CRS port, all the DMRS ports are equivalent to the CRS port.</w:t>
      </w:r>
    </w:p>
    <w:p w14:paraId="20A77641" w14:textId="77777777" w:rsidR="00424654" w:rsidRDefault="00424654" w:rsidP="00424654">
      <w:pPr>
        <w:pStyle w:val="Heading1"/>
        <w:numPr>
          <w:ilvl w:val="0"/>
          <w:numId w:val="1"/>
        </w:numPr>
        <w:tabs>
          <w:tab w:val="clear" w:pos="1140"/>
          <w:tab w:val="num" w:pos="720"/>
        </w:tabs>
        <w:ind w:left="720" w:hanging="720"/>
        <w:jc w:val="both"/>
      </w:pPr>
      <w:r>
        <w:t>Operation for localized operation</w:t>
      </w:r>
    </w:p>
    <w:p w14:paraId="537066D7" w14:textId="77777777" w:rsidR="00056AF3" w:rsidRDefault="00061369" w:rsidP="006B44EA">
      <w:r>
        <w:t>In RA</w:t>
      </w:r>
      <w:r w:rsidR="006B44EA">
        <w:t>N</w:t>
      </w:r>
      <w:r>
        <w:t>1#94</w:t>
      </w:r>
      <w:r w:rsidR="006B44EA">
        <w:t>b</w:t>
      </w:r>
      <w:r>
        <w:t xml:space="preserve"> it was agreed that </w:t>
      </w:r>
      <w:r w:rsidR="006B44EA">
        <w:t>mappings based on CS</w:t>
      </w:r>
      <w:r w:rsidR="006B44EA" w:rsidRPr="006B44EA">
        <w:t>I</w:t>
      </w:r>
      <w:r w:rsidR="006B44EA">
        <w:t xml:space="preserve"> report and predefined mappings are supported. In our view, both mappings should be supported </w:t>
      </w:r>
      <w:r w:rsidR="006B44EA">
        <w:rPr>
          <w:u w:val="single"/>
        </w:rPr>
        <w:t>simultaneously</w:t>
      </w:r>
      <w:r w:rsidR="006B44EA">
        <w:t xml:space="preserve"> (but without impacting UE complexity): CSI report should be used when it is available (e.g. small delay since the last CSI feedback, or small doppler), but it has</w:t>
      </w:r>
      <w:r w:rsidR="0077342F">
        <w:t xml:space="preserve"> some reliability issues (e.g. if CSI report is decoded incorrectly at the eNB, the UE will not be able to decode the MPDCCH). The predefined mapping, on the other hand, allows for robust operation when channel conditions are unknown, but suffers from reduced performance with respect to techniques that rely on CSIT. Thus, it is desirable that, in a single MPDCCH search space, some candidates have </w:t>
      </w:r>
      <w:r w:rsidR="008B788F">
        <w:t>predefined mapping and some other candidates have mapping based on CSI feedback.</w:t>
      </w:r>
    </w:p>
    <w:p w14:paraId="1A262E09" w14:textId="77777777" w:rsidR="0077342F" w:rsidRDefault="0077342F" w:rsidP="006B44EA">
      <w:r w:rsidRPr="0077342F">
        <w:t>Note that</w:t>
      </w:r>
      <w:r>
        <w:t xml:space="preserve"> the typical MPDCCH operation for localized mapping is as follows:</w:t>
      </w:r>
    </w:p>
    <w:p w14:paraId="45C0C046" w14:textId="77777777" w:rsidR="0077342F" w:rsidRDefault="0077342F" w:rsidP="0077342F">
      <w:pPr>
        <w:numPr>
          <w:ilvl w:val="0"/>
          <w:numId w:val="16"/>
        </w:numPr>
      </w:pPr>
      <w:r>
        <w:t>UE estimates the channel for all ports (107/108/109/110) and for all PRBs.</w:t>
      </w:r>
    </w:p>
    <w:p w14:paraId="0E9D0F54" w14:textId="77777777" w:rsidR="0077342F" w:rsidRDefault="0077342F" w:rsidP="0077342F">
      <w:pPr>
        <w:numPr>
          <w:ilvl w:val="0"/>
          <w:numId w:val="16"/>
        </w:numPr>
        <w:rPr>
          <w:lang w:val="en-US"/>
        </w:rPr>
      </w:pPr>
      <w:r w:rsidRPr="0077342F">
        <w:rPr>
          <w:lang w:val="en-US"/>
        </w:rPr>
        <w:t>UE calculates LLRs for all R</w:t>
      </w:r>
      <w:r>
        <w:rPr>
          <w:lang w:val="en-US"/>
        </w:rPr>
        <w:t>Es in all PRBs (4 demod per RE, assuming different ports)</w:t>
      </w:r>
    </w:p>
    <w:p w14:paraId="3A61D173" w14:textId="77777777" w:rsidR="0077342F" w:rsidRDefault="0077342F" w:rsidP="0077342F">
      <w:pPr>
        <w:numPr>
          <w:ilvl w:val="0"/>
          <w:numId w:val="16"/>
        </w:numPr>
        <w:rPr>
          <w:lang w:val="en-US"/>
        </w:rPr>
      </w:pPr>
      <w:r>
        <w:rPr>
          <w:lang w:val="en-US"/>
        </w:rPr>
        <w:t>UE uses the candidate table/hashing functions to determine the RE/port mapping of different candidates, and feeds the corresponding LLRs to the decoder</w:t>
      </w:r>
      <w:r w:rsidR="008B788F">
        <w:rPr>
          <w:lang w:val="en-US"/>
        </w:rPr>
        <w:t>.</w:t>
      </w:r>
    </w:p>
    <w:p w14:paraId="55ACEAA3" w14:textId="77777777" w:rsidR="008B788F" w:rsidRDefault="008B788F" w:rsidP="008B788F">
      <w:r w:rsidRPr="00384057">
        <w:t>The simplest way to enable dual operation</w:t>
      </w:r>
      <w:r w:rsidR="00384057">
        <w:t xml:space="preserve">, in this case, is to </w:t>
      </w:r>
      <w:r w:rsidR="00B83242">
        <w:t>make one of the ports (e.g. port 107) to follow the CSI mapping and others to follow predefined mapping.</w:t>
      </w:r>
    </w:p>
    <w:p w14:paraId="65B26274" w14:textId="5E137CA7" w:rsidR="00B83242" w:rsidRDefault="00B83242" w:rsidP="008B788F">
      <w:pPr>
        <w:rPr>
          <w:b/>
        </w:rPr>
      </w:pPr>
      <w:r w:rsidRPr="00B83242">
        <w:rPr>
          <w:b/>
          <w:u w:val="single"/>
        </w:rPr>
        <w:t xml:space="preserve">Proposal </w:t>
      </w:r>
      <w:r w:rsidR="00E96DDC">
        <w:rPr>
          <w:b/>
          <w:u w:val="single"/>
        </w:rPr>
        <w:t>7</w:t>
      </w:r>
      <w:r>
        <w:rPr>
          <w:b/>
          <w:u w:val="single"/>
        </w:rPr>
        <w:t xml:space="preserve">: </w:t>
      </w:r>
      <w:r>
        <w:rPr>
          <w:b/>
        </w:rPr>
        <w:t>For CRS-MPDCCH mapping for localized transmission:</w:t>
      </w:r>
    </w:p>
    <w:p w14:paraId="1D6F77CE" w14:textId="1E80F74F" w:rsidR="00B83242" w:rsidRDefault="00B83242" w:rsidP="008B788F">
      <w:pPr>
        <w:rPr>
          <w:b/>
        </w:rPr>
      </w:pPr>
      <w:r>
        <w:rPr>
          <w:b/>
        </w:rPr>
        <w:tab/>
        <w:t>- A subset of the MPDCCH ports follow the latest reported CSI report</w:t>
      </w:r>
    </w:p>
    <w:p w14:paraId="5853CD9C" w14:textId="77777777" w:rsidR="00B83242" w:rsidRDefault="00B83242" w:rsidP="008B788F">
      <w:pPr>
        <w:rPr>
          <w:b/>
        </w:rPr>
      </w:pPr>
      <w:r>
        <w:rPr>
          <w:b/>
        </w:rPr>
        <w:tab/>
        <w:t>- A subset of the MPDCCH ports follow a preconfigured mapping with respect to CRS ports.</w:t>
      </w:r>
    </w:p>
    <w:p w14:paraId="2203C738" w14:textId="77777777" w:rsidR="006B0FB7" w:rsidRPr="006B0FB7" w:rsidRDefault="006B0FB7" w:rsidP="008B788F">
      <w:r w:rsidRPr="006B0FB7">
        <w:t xml:space="preserve">Note that </w:t>
      </w:r>
      <w:r>
        <w:t>the typical operation for CSI feedback in LTE does not require the eNB to follow the UE feedback, and the precoder is either 1) Transparent to the UE (MPDCCH/DMRS-based TM), or 2) Indicated in DCI. For the case under study, the precoding cannot be transparent (since we want to map DMRS and CRS ports), and cannot be indicated in DCI, since the MPDCCH is carrying the DCI itself. Also, note that only a subset of the MPDCCH ports would be defined using this “PMI-based feedback” – the eNB may use other ports/candidates for diversity-based transmission.</w:t>
      </w:r>
    </w:p>
    <w:p w14:paraId="05FE7841" w14:textId="77777777" w:rsidR="00B83242" w:rsidRPr="00B83242" w:rsidRDefault="00B83242" w:rsidP="00056AF3">
      <w:r w:rsidRPr="00B83242">
        <w:t>The technique above</w:t>
      </w:r>
      <w:r>
        <w:t xml:space="preserve"> is useful for FDD operation with CSI feedback. In TDD, however, the network may resort to SRS-based reciprocity operation. In this case, the “closed loop” operation is not codebook-based, and thus the UE may not make any assumption on the precoder used by the eNB. If we enable this operation, then we could follow a similar approach as the one in proposal 3, but having the “closed loop” port not associated to CRS ports.</w:t>
      </w:r>
    </w:p>
    <w:p w14:paraId="0E57FEFA" w14:textId="5BE0FE8D" w:rsidR="00B83242" w:rsidRDefault="00B83242" w:rsidP="00B83242">
      <w:pPr>
        <w:rPr>
          <w:b/>
        </w:rPr>
      </w:pPr>
      <w:r w:rsidRPr="00B83242">
        <w:rPr>
          <w:b/>
          <w:u w:val="single"/>
        </w:rPr>
        <w:t xml:space="preserve">Proposal </w:t>
      </w:r>
      <w:r w:rsidR="00E96DDC">
        <w:rPr>
          <w:b/>
          <w:u w:val="single"/>
        </w:rPr>
        <w:t>8</w:t>
      </w:r>
      <w:r>
        <w:rPr>
          <w:b/>
          <w:u w:val="single"/>
        </w:rPr>
        <w:t xml:space="preserve">: </w:t>
      </w:r>
      <w:r>
        <w:rPr>
          <w:b/>
        </w:rPr>
        <w:t>For TDD operation, enable closed loop operation with reciprocity-based beamforming:</w:t>
      </w:r>
    </w:p>
    <w:p w14:paraId="60DD7A7C" w14:textId="77777777" w:rsidR="00B83242" w:rsidRDefault="00B83242" w:rsidP="00B83242">
      <w:pPr>
        <w:rPr>
          <w:b/>
        </w:rPr>
      </w:pPr>
      <w:r>
        <w:rPr>
          <w:b/>
        </w:rPr>
        <w:tab/>
        <w:t>- A subset of the MPDCCH ports do not have mapping to CRS ports.</w:t>
      </w:r>
    </w:p>
    <w:p w14:paraId="2BB0D3B2" w14:textId="77777777" w:rsidR="00B83242" w:rsidRPr="00B83242" w:rsidRDefault="00B83242" w:rsidP="00B83242">
      <w:pPr>
        <w:rPr>
          <w:b/>
        </w:rPr>
      </w:pPr>
      <w:r>
        <w:rPr>
          <w:b/>
        </w:rPr>
        <w:tab/>
        <w:t>- A subset of the MPDCCH ports follow a preconfigured mapping with respect to CRS ports.</w:t>
      </w:r>
    </w:p>
    <w:p w14:paraId="39B615AD" w14:textId="77777777" w:rsidR="00082649" w:rsidRDefault="00082649" w:rsidP="00056AF3"/>
    <w:p w14:paraId="7F5FB7A9" w14:textId="77777777" w:rsidR="00667109" w:rsidRPr="00B83242" w:rsidRDefault="00667109" w:rsidP="00056AF3">
      <w:pPr>
        <w:rPr>
          <w:b/>
        </w:rPr>
      </w:pPr>
    </w:p>
    <w:p w14:paraId="1615D0FF" w14:textId="77777777" w:rsidR="00B83242" w:rsidRPr="00B83242" w:rsidRDefault="00B83242" w:rsidP="00056AF3">
      <w:pPr>
        <w:rPr>
          <w:b/>
        </w:rPr>
      </w:pPr>
    </w:p>
    <w:p w14:paraId="5DFF9130" w14:textId="77777777" w:rsidR="00BD5140" w:rsidRDefault="00BD5140" w:rsidP="00BD5140">
      <w:pPr>
        <w:pStyle w:val="Heading1"/>
        <w:numPr>
          <w:ilvl w:val="0"/>
          <w:numId w:val="1"/>
        </w:numPr>
        <w:tabs>
          <w:tab w:val="clear" w:pos="1140"/>
          <w:tab w:val="num" w:pos="720"/>
        </w:tabs>
        <w:ind w:left="720" w:hanging="720"/>
        <w:jc w:val="both"/>
      </w:pPr>
      <w:r>
        <w:t>Conclusion</w:t>
      </w:r>
    </w:p>
    <w:p w14:paraId="3071D460" w14:textId="77777777" w:rsidR="00464B05" w:rsidRDefault="00464B05" w:rsidP="00464B05">
      <w:r>
        <w:t>In this contribution we presented our views on how to perform MPDCCH-CRS mapping for improved channel estimation. We made the following proposals:</w:t>
      </w:r>
    </w:p>
    <w:p w14:paraId="27D0E221" w14:textId="77777777" w:rsidR="00F8517D" w:rsidRDefault="00F8517D" w:rsidP="00F8517D">
      <w:pPr>
        <w:rPr>
          <w:b/>
        </w:rPr>
      </w:pPr>
      <w:r w:rsidRPr="00110D6B">
        <w:rPr>
          <w:b/>
          <w:u w:val="single"/>
        </w:rPr>
        <w:t>Proposal</w:t>
      </w:r>
      <w:r>
        <w:rPr>
          <w:b/>
          <w:u w:val="single"/>
        </w:rPr>
        <w:t xml:space="preserve"> 1</w:t>
      </w:r>
      <w:r w:rsidRPr="00110D6B">
        <w:rPr>
          <w:b/>
          <w:u w:val="single"/>
        </w:rPr>
        <w:t>:</w:t>
      </w:r>
      <w:r w:rsidRPr="00110D6B">
        <w:rPr>
          <w:b/>
        </w:rPr>
        <w:t xml:space="preserve"> At least for localized MPDCCH, the granularity of precoding in the frequency domain is 1 </w:t>
      </w:r>
      <w:r>
        <w:rPr>
          <w:b/>
        </w:rPr>
        <w:t xml:space="preserve">only </w:t>
      </w:r>
      <w:r w:rsidRPr="00110D6B">
        <w:rPr>
          <w:b/>
        </w:rPr>
        <w:t>PRB</w:t>
      </w:r>
      <w:r>
        <w:rPr>
          <w:b/>
        </w:rPr>
        <w:t>.</w:t>
      </w:r>
    </w:p>
    <w:p w14:paraId="7DC200D7" w14:textId="77777777" w:rsidR="00F8517D" w:rsidRDefault="00F8517D" w:rsidP="00F8517D">
      <w:pPr>
        <w:rPr>
          <w:b/>
          <w:u w:val="single"/>
        </w:rPr>
      </w:pPr>
    </w:p>
    <w:p w14:paraId="2CAC472C" w14:textId="762ED583" w:rsidR="00F8517D" w:rsidRPr="003A7129" w:rsidRDefault="00F8517D" w:rsidP="00F8517D">
      <w:pPr>
        <w:rPr>
          <w:b/>
        </w:rPr>
      </w:pPr>
      <w:r w:rsidRPr="003A7129">
        <w:rPr>
          <w:b/>
          <w:u w:val="single"/>
        </w:rPr>
        <w:t>Observation</w:t>
      </w:r>
      <w:r>
        <w:rPr>
          <w:b/>
          <w:u w:val="single"/>
        </w:rPr>
        <w:t xml:space="preserve"> 1</w:t>
      </w:r>
      <w:r w:rsidRPr="003A7129">
        <w:rPr>
          <w:b/>
          <w:u w:val="single"/>
        </w:rPr>
        <w:t>:</w:t>
      </w:r>
      <w:r>
        <w:rPr>
          <w:b/>
        </w:rPr>
        <w:t xml:space="preserve"> Introduction of PRB bundling for distributed MPDCCH should be contingent on showing gains with respect to a baseline that includes DMRS + wideband CRS channel estimation.</w:t>
      </w:r>
    </w:p>
    <w:p w14:paraId="3E70530C" w14:textId="77777777" w:rsidR="00F8517D" w:rsidRDefault="00F8517D" w:rsidP="00F8517D">
      <w:pPr>
        <w:rPr>
          <w:b/>
          <w:u w:val="single"/>
        </w:rPr>
      </w:pPr>
    </w:p>
    <w:p w14:paraId="0E27998E" w14:textId="2C75CE19" w:rsidR="00F8517D" w:rsidRDefault="00F8517D" w:rsidP="00F8517D">
      <w:pPr>
        <w:rPr>
          <w:b/>
        </w:rPr>
      </w:pPr>
      <w:r w:rsidRPr="00623635">
        <w:rPr>
          <w:b/>
          <w:u w:val="single"/>
        </w:rPr>
        <w:t>Observation 2:</w:t>
      </w:r>
      <w:r>
        <w:rPr>
          <w:b/>
        </w:rPr>
        <w:t xml:space="preserve"> Rel-13 BL/CE UEs implementing TM6 already support translation of CRS channel estimation to precoded channel estimation based on rank-1 precoders, but not on rank-2 precoders.</w:t>
      </w:r>
    </w:p>
    <w:p w14:paraId="71E655C8" w14:textId="77777777" w:rsidR="00F8517D" w:rsidRDefault="00F8517D" w:rsidP="00F8517D">
      <w:pPr>
        <w:rPr>
          <w:b/>
          <w:u w:val="single"/>
        </w:rPr>
      </w:pPr>
    </w:p>
    <w:p w14:paraId="692363D6" w14:textId="77777777" w:rsidR="00DB32EB" w:rsidRPr="00623635" w:rsidRDefault="00DB32EB" w:rsidP="00DB32EB">
      <w:pPr>
        <w:rPr>
          <w:b/>
        </w:rPr>
      </w:pPr>
      <w:r w:rsidRPr="00623635">
        <w:rPr>
          <w:b/>
          <w:u w:val="single"/>
        </w:rPr>
        <w:t xml:space="preserve">Observation </w:t>
      </w:r>
      <w:r>
        <w:rPr>
          <w:b/>
          <w:u w:val="single"/>
        </w:rPr>
        <w:t>3</w:t>
      </w:r>
      <w:r w:rsidRPr="00623635">
        <w:rPr>
          <w:b/>
          <w:u w:val="single"/>
        </w:rPr>
        <w:t>:</w:t>
      </w:r>
      <w:r>
        <w:rPr>
          <w:b/>
        </w:rPr>
        <w:t xml:space="preserve"> In the case of 4 CRS ports, and for any rank-2 real precoder (precoder indices {0,2,8,10,12,13,14,15}) there is an equivalent pair of two rank-1 precoders that offer the same performance (the precoders are equal except for a sign change in some of the columns)</w:t>
      </w:r>
    </w:p>
    <w:p w14:paraId="7F81A733" w14:textId="77777777" w:rsidR="00F8517D" w:rsidRDefault="00F8517D" w:rsidP="00F8517D">
      <w:pPr>
        <w:rPr>
          <w:b/>
          <w:u w:val="single"/>
        </w:rPr>
      </w:pPr>
    </w:p>
    <w:p w14:paraId="7599277D" w14:textId="350AEF0D" w:rsidR="00F8517D" w:rsidRDefault="00F8517D" w:rsidP="00F8517D">
      <w:pPr>
        <w:rPr>
          <w:b/>
        </w:rPr>
      </w:pPr>
      <w:r w:rsidRPr="00623635">
        <w:rPr>
          <w:b/>
          <w:u w:val="single"/>
        </w:rPr>
        <w:t>Proposal 4:</w:t>
      </w:r>
      <w:r>
        <w:rPr>
          <w:b/>
          <w:u w:val="single"/>
        </w:rPr>
        <w:t xml:space="preserve"> </w:t>
      </w:r>
      <w:r>
        <w:rPr>
          <w:b/>
        </w:rPr>
        <w:t xml:space="preserve">For distributed operation, the precoder cycling is based on real rank-1 precoders. </w:t>
      </w:r>
    </w:p>
    <w:p w14:paraId="5A817FA6" w14:textId="05D2CD4D" w:rsidR="00F8517D" w:rsidRDefault="00F8517D" w:rsidP="00F8517D">
      <w:pPr>
        <w:rPr>
          <w:b/>
          <w:u w:val="single"/>
        </w:rPr>
      </w:pPr>
    </w:p>
    <w:p w14:paraId="49F37CF3" w14:textId="77777777" w:rsidR="006E1B37" w:rsidRPr="00E96DDC" w:rsidRDefault="006E1B37" w:rsidP="006E1B37">
      <w:pPr>
        <w:rPr>
          <w:b/>
        </w:rPr>
      </w:pPr>
      <w:r w:rsidRPr="00E96DDC">
        <w:rPr>
          <w:b/>
          <w:u w:val="single"/>
        </w:rPr>
        <w:t>Proposal 5:</w:t>
      </w:r>
      <w:r>
        <w:rPr>
          <w:b/>
        </w:rPr>
        <w:t xml:space="preserve"> For distributed operation and 4 CRS ports, use rank-1 precoders with indices {12,13,14,15} in Table</w:t>
      </w:r>
      <w:r w:rsidRPr="00E96DDC">
        <w:rPr>
          <w:b/>
          <w:bCs/>
        </w:rPr>
        <w:t xml:space="preserve"> 6.3.4.2.3-2 of TS 36.213.</w:t>
      </w:r>
    </w:p>
    <w:p w14:paraId="3C3DA4FB" w14:textId="77777777" w:rsidR="00E96DDC" w:rsidRDefault="00E96DDC" w:rsidP="00E96DDC">
      <w:pPr>
        <w:rPr>
          <w:b/>
          <w:u w:val="single"/>
        </w:rPr>
      </w:pPr>
    </w:p>
    <w:p w14:paraId="7D14E9DA" w14:textId="265C4130" w:rsidR="00E96DDC" w:rsidRPr="00E96DDC" w:rsidRDefault="00E96DDC" w:rsidP="00E96DDC">
      <w:pPr>
        <w:rPr>
          <w:b/>
        </w:rPr>
      </w:pPr>
      <w:r w:rsidRPr="00E96DDC">
        <w:rPr>
          <w:b/>
          <w:u w:val="single"/>
        </w:rPr>
        <w:t>Proposal 6:</w:t>
      </w:r>
      <w:r>
        <w:rPr>
          <w:b/>
        </w:rPr>
        <w:t xml:space="preserve"> For single CRS port, all the DMRS ports are equivalent to the CRS port.</w:t>
      </w:r>
    </w:p>
    <w:p w14:paraId="031ABBFF" w14:textId="77777777" w:rsidR="00E96DDC" w:rsidRDefault="00E96DDC" w:rsidP="00F8517D">
      <w:pPr>
        <w:rPr>
          <w:b/>
          <w:u w:val="single"/>
        </w:rPr>
      </w:pPr>
    </w:p>
    <w:p w14:paraId="22DDCF78" w14:textId="2358E46F" w:rsidR="00F8517D" w:rsidRDefault="00F8517D" w:rsidP="00F8517D">
      <w:pPr>
        <w:rPr>
          <w:b/>
        </w:rPr>
      </w:pPr>
      <w:r w:rsidRPr="00B83242">
        <w:rPr>
          <w:b/>
          <w:u w:val="single"/>
        </w:rPr>
        <w:t xml:space="preserve">Proposal </w:t>
      </w:r>
      <w:r w:rsidR="00E96DDC">
        <w:rPr>
          <w:b/>
          <w:u w:val="single"/>
        </w:rPr>
        <w:t>7</w:t>
      </w:r>
      <w:r>
        <w:rPr>
          <w:b/>
          <w:u w:val="single"/>
        </w:rPr>
        <w:t xml:space="preserve">: </w:t>
      </w:r>
      <w:r>
        <w:rPr>
          <w:b/>
        </w:rPr>
        <w:t>For CRS-MPDCCH mapping for localized transmission:</w:t>
      </w:r>
    </w:p>
    <w:p w14:paraId="326CE884" w14:textId="77777777" w:rsidR="00F8517D" w:rsidRDefault="00F8517D" w:rsidP="00F8517D">
      <w:pPr>
        <w:rPr>
          <w:b/>
        </w:rPr>
      </w:pPr>
      <w:r>
        <w:rPr>
          <w:b/>
        </w:rPr>
        <w:tab/>
        <w:t>- A subset of the MPDCCH ports follow the latest reported CSI report</w:t>
      </w:r>
    </w:p>
    <w:p w14:paraId="1720D317" w14:textId="77777777" w:rsidR="00F8517D" w:rsidRDefault="00F8517D" w:rsidP="00F8517D">
      <w:pPr>
        <w:rPr>
          <w:b/>
        </w:rPr>
      </w:pPr>
      <w:r>
        <w:rPr>
          <w:b/>
          <w:i/>
        </w:rPr>
        <w:tab/>
      </w:r>
      <w:r>
        <w:rPr>
          <w:b/>
          <w:i/>
        </w:rPr>
        <w:tab/>
      </w:r>
      <w:r>
        <w:rPr>
          <w:b/>
        </w:rPr>
        <w:t>FFS: Details of timeline</w:t>
      </w:r>
    </w:p>
    <w:p w14:paraId="614EE99A" w14:textId="77777777" w:rsidR="00F8517D" w:rsidRDefault="00F8517D" w:rsidP="00F8517D">
      <w:pPr>
        <w:rPr>
          <w:b/>
        </w:rPr>
      </w:pPr>
      <w:r>
        <w:rPr>
          <w:b/>
        </w:rPr>
        <w:tab/>
        <w:t>- A subset of the MPDCCH ports follow a preconfigured mapping with respect to CRS ports.</w:t>
      </w:r>
    </w:p>
    <w:p w14:paraId="40E0FF8F" w14:textId="77777777" w:rsidR="00F8517D" w:rsidRDefault="00F8517D" w:rsidP="00F8517D">
      <w:pPr>
        <w:rPr>
          <w:b/>
          <w:u w:val="single"/>
        </w:rPr>
      </w:pPr>
    </w:p>
    <w:p w14:paraId="78BB545B" w14:textId="4E1A3D6D" w:rsidR="00F8517D" w:rsidRDefault="00F8517D" w:rsidP="00F8517D">
      <w:pPr>
        <w:rPr>
          <w:b/>
        </w:rPr>
      </w:pPr>
      <w:r w:rsidRPr="00B83242">
        <w:rPr>
          <w:b/>
          <w:u w:val="single"/>
        </w:rPr>
        <w:t xml:space="preserve">Proposal </w:t>
      </w:r>
      <w:r w:rsidR="00E96DDC">
        <w:rPr>
          <w:b/>
          <w:u w:val="single"/>
        </w:rPr>
        <w:t>8</w:t>
      </w:r>
      <w:r>
        <w:rPr>
          <w:b/>
          <w:u w:val="single"/>
        </w:rPr>
        <w:t xml:space="preserve">: </w:t>
      </w:r>
      <w:r>
        <w:rPr>
          <w:b/>
        </w:rPr>
        <w:t>For TDD operation, enable closed loop operation with reciprocity-based beamforming:</w:t>
      </w:r>
    </w:p>
    <w:p w14:paraId="45A0185A" w14:textId="77777777" w:rsidR="00F8517D" w:rsidRDefault="00F8517D" w:rsidP="00F8517D">
      <w:pPr>
        <w:rPr>
          <w:b/>
        </w:rPr>
      </w:pPr>
      <w:r>
        <w:rPr>
          <w:b/>
        </w:rPr>
        <w:tab/>
        <w:t>- A subset of the MPDCCH ports do not have mapping to CRS ports.</w:t>
      </w:r>
    </w:p>
    <w:p w14:paraId="29D300C0" w14:textId="77777777" w:rsidR="00F8517D" w:rsidRPr="00B83242" w:rsidRDefault="00F8517D" w:rsidP="00F8517D">
      <w:pPr>
        <w:rPr>
          <w:b/>
        </w:rPr>
      </w:pPr>
      <w:r>
        <w:rPr>
          <w:b/>
        </w:rPr>
        <w:tab/>
        <w:t>- A subset of the MPDCCH ports follow a preconfigured mapping with respect to CRS ports.</w:t>
      </w:r>
    </w:p>
    <w:p w14:paraId="75704E38" w14:textId="16A73ADC" w:rsidR="00082649" w:rsidRDefault="00082649" w:rsidP="006B0FB7">
      <w:pPr>
        <w:rPr>
          <w:b/>
        </w:rPr>
      </w:pPr>
    </w:p>
    <w:p w14:paraId="2889BC0D" w14:textId="4700060E" w:rsidR="00F8517D" w:rsidRDefault="00F8517D" w:rsidP="006B0FB7">
      <w:pPr>
        <w:rPr>
          <w:b/>
        </w:rPr>
      </w:pPr>
    </w:p>
    <w:p w14:paraId="66F51DED" w14:textId="6489FAF1" w:rsidR="00F8517D" w:rsidRDefault="00F8517D" w:rsidP="006B0FB7">
      <w:pPr>
        <w:rPr>
          <w:b/>
        </w:rPr>
      </w:pPr>
    </w:p>
    <w:p w14:paraId="1C6CD455" w14:textId="161A801F" w:rsidR="00F8517D" w:rsidRDefault="00F8517D" w:rsidP="006B0FB7">
      <w:pPr>
        <w:rPr>
          <w:b/>
        </w:rPr>
      </w:pPr>
    </w:p>
    <w:p w14:paraId="7075B9F2" w14:textId="77777777" w:rsidR="00EC72ED" w:rsidRDefault="00EC72ED" w:rsidP="00667109">
      <w:pPr>
        <w:pStyle w:val="Heading1"/>
        <w:jc w:val="both"/>
      </w:pPr>
      <w:r>
        <w:lastRenderedPageBreak/>
        <w:t>Appendix – Complexity of PRB bundling (from [1])</w:t>
      </w:r>
    </w:p>
    <w:p w14:paraId="6F6B5FA3" w14:textId="77777777" w:rsidR="00EC72ED" w:rsidRDefault="00EC72ED" w:rsidP="00EC72ED">
      <w:pPr>
        <w:rPr>
          <w:snapToGrid w:val="0"/>
          <w:sz w:val="22"/>
          <w:lang w:eastAsia="zh-CN"/>
        </w:rPr>
      </w:pPr>
      <w:r w:rsidRPr="005B06E9">
        <w:rPr>
          <w:snapToGrid w:val="0"/>
          <w:sz w:val="22"/>
          <w:lang w:eastAsia="zh-CN"/>
        </w:rPr>
        <w:t>Without</w:t>
      </w:r>
      <w:r>
        <w:rPr>
          <w:snapToGrid w:val="0"/>
          <w:sz w:val="22"/>
          <w:lang w:eastAsia="zh-CN"/>
        </w:rPr>
        <w:t xml:space="preserve"> PRB bundling, the demodulation/blind decoding process is as shown in </w:t>
      </w:r>
      <w:r>
        <w:rPr>
          <w:snapToGrid w:val="0"/>
          <w:sz w:val="22"/>
          <w:lang w:eastAsia="zh-CN"/>
        </w:rPr>
        <w:fldChar w:fldCharType="begin"/>
      </w:r>
      <w:r>
        <w:rPr>
          <w:snapToGrid w:val="0"/>
          <w:sz w:val="22"/>
          <w:lang w:eastAsia="zh-CN"/>
        </w:rPr>
        <w:instrText xml:space="preserve"> REF _Ref424627122 \h  \* MERGEFORMAT </w:instrText>
      </w:r>
      <w:r>
        <w:rPr>
          <w:snapToGrid w:val="0"/>
          <w:sz w:val="22"/>
          <w:lang w:eastAsia="zh-CN"/>
        </w:rPr>
      </w:r>
      <w:r>
        <w:rPr>
          <w:snapToGrid w:val="0"/>
          <w:sz w:val="22"/>
          <w:lang w:eastAsia="zh-CN"/>
        </w:rPr>
        <w:fldChar w:fldCharType="separate"/>
      </w:r>
      <w:r w:rsidRPr="00EC72ED">
        <w:rPr>
          <w:snapToGrid w:val="0"/>
          <w:sz w:val="22"/>
          <w:lang w:eastAsia="zh-CN"/>
        </w:rPr>
        <w:t>Figure 1</w:t>
      </w:r>
      <w:r>
        <w:rPr>
          <w:snapToGrid w:val="0"/>
          <w:sz w:val="22"/>
          <w:lang w:eastAsia="zh-CN"/>
        </w:rPr>
        <w:fldChar w:fldCharType="end"/>
      </w:r>
      <w:r>
        <w:rPr>
          <w:snapToGrid w:val="0"/>
          <w:sz w:val="22"/>
          <w:lang w:eastAsia="zh-CN"/>
        </w:rPr>
        <w:t>. We have to do 6RB channel estimation, equalization, and LLR computation. The only part that is affected by the number of candidates is the blind decoding block.</w:t>
      </w:r>
    </w:p>
    <w:p w14:paraId="0540F19F" w14:textId="77777777" w:rsidR="00EC72ED" w:rsidRDefault="00EC72ED" w:rsidP="00EC72ED">
      <w:pPr>
        <w:rPr>
          <w:snapToGrid w:val="0"/>
          <w:sz w:val="22"/>
          <w:lang w:eastAsia="zh-CN"/>
        </w:rPr>
      </w:pPr>
    </w:p>
    <w:p w14:paraId="2782088D" w14:textId="77777777" w:rsidR="00EC72ED" w:rsidRDefault="00EC72ED" w:rsidP="00EC72ED">
      <w:pPr>
        <w:keepNext/>
        <w:jc w:val="center"/>
      </w:pPr>
      <w:r>
        <w:rPr>
          <w:snapToGrid w:val="0"/>
          <w:sz w:val="22"/>
          <w:lang w:eastAsia="zh-CN"/>
        </w:rPr>
        <w:object w:dxaOrig="6456" w:dyaOrig="2235" w14:anchorId="20711FD2">
          <v:shape id="_x0000_i1037" type="#_x0000_t75" style="width:445.25pt;height:155.05pt" o:ole="">
            <v:imagedata r:id="rId30" o:title=""/>
          </v:shape>
          <o:OLEObject Type="Embed" ProgID="Visio.Drawing.11" ShapeID="_x0000_i1037" DrawAspect="Content" ObjectID="_1627479175" r:id="rId31"/>
        </w:object>
      </w:r>
    </w:p>
    <w:p w14:paraId="428ECE02" w14:textId="77777777" w:rsidR="00EC72ED" w:rsidRPr="005B06E9" w:rsidRDefault="00EC72ED" w:rsidP="00EC72ED">
      <w:pPr>
        <w:pStyle w:val="Caption"/>
        <w:jc w:val="center"/>
        <w:rPr>
          <w:snapToGrid w:val="0"/>
          <w:sz w:val="22"/>
          <w:lang w:eastAsia="zh-CN"/>
        </w:rPr>
      </w:pPr>
      <w:bookmarkStart w:id="3" w:name="_Ref424627122"/>
      <w:r>
        <w:t xml:space="preserve">Figure </w:t>
      </w:r>
      <w:r w:rsidR="007C32B2">
        <w:fldChar w:fldCharType="begin"/>
      </w:r>
      <w:r w:rsidR="007C32B2">
        <w:instrText xml:space="preserve"> SEQ Figure \* ARABIC </w:instrText>
      </w:r>
      <w:r w:rsidR="007C32B2">
        <w:fldChar w:fldCharType="separate"/>
      </w:r>
      <w:r>
        <w:rPr>
          <w:noProof/>
        </w:rPr>
        <w:t>1</w:t>
      </w:r>
      <w:r w:rsidR="007C32B2">
        <w:rPr>
          <w:noProof/>
        </w:rPr>
        <w:fldChar w:fldCharType="end"/>
      </w:r>
      <w:bookmarkEnd w:id="3"/>
      <w:r>
        <w:t xml:space="preserve"> MPDCCH Blind decoding process without PRB bundling</w:t>
      </w:r>
    </w:p>
    <w:p w14:paraId="7B81F2D2" w14:textId="77777777" w:rsidR="00EC72ED" w:rsidRDefault="00EC72ED" w:rsidP="00EC72ED">
      <w:pPr>
        <w:pStyle w:val="LGTdoc1"/>
        <w:spacing w:beforeLines="0" w:before="120" w:after="220" w:afterAutospacing="0"/>
        <w:rPr>
          <w:rFonts w:eastAsia="SimSun"/>
          <w:b w:val="0"/>
          <w:sz w:val="22"/>
          <w:lang w:val="en-US" w:eastAsia="zh-CN"/>
        </w:rPr>
      </w:pPr>
      <w:r>
        <w:rPr>
          <w:rFonts w:eastAsia="SimSun"/>
          <w:b w:val="0"/>
          <w:sz w:val="22"/>
          <w:lang w:val="en-US" w:eastAsia="zh-CN"/>
        </w:rPr>
        <w:t xml:space="preserve">If we enable PRB bundling, the steps up to LLR calculation used for smaller aggregation levels cannot be reused for higher aggregation levels, e.g. when we perform channel estimation for aggregation level 4 we use the DMRS for RB0, but when we perform channel estimation for aggregation level 8 we use the DMRS for RB0 and RB1. An example of the complexity increase is shown in </w:t>
      </w:r>
      <w:r>
        <w:rPr>
          <w:rFonts w:eastAsia="SimSun"/>
          <w:b w:val="0"/>
          <w:sz w:val="22"/>
          <w:lang w:val="en-US" w:eastAsia="zh-CN"/>
        </w:rPr>
        <w:fldChar w:fldCharType="begin"/>
      </w:r>
      <w:r>
        <w:rPr>
          <w:rFonts w:eastAsia="SimSun"/>
          <w:b w:val="0"/>
          <w:sz w:val="22"/>
          <w:lang w:val="en-US" w:eastAsia="zh-CN"/>
        </w:rPr>
        <w:instrText xml:space="preserve"> REF _Ref424627596 \h  \* MERGEFORMAT </w:instrText>
      </w:r>
      <w:r>
        <w:rPr>
          <w:rFonts w:eastAsia="SimSun"/>
          <w:b w:val="0"/>
          <w:sz w:val="22"/>
          <w:lang w:val="en-US" w:eastAsia="zh-CN"/>
        </w:rPr>
      </w:r>
      <w:r>
        <w:rPr>
          <w:rFonts w:eastAsia="SimSun"/>
          <w:b w:val="0"/>
          <w:sz w:val="22"/>
          <w:lang w:val="en-US" w:eastAsia="zh-CN"/>
        </w:rPr>
        <w:fldChar w:fldCharType="separate"/>
      </w:r>
      <w:r w:rsidRPr="00EC72ED">
        <w:rPr>
          <w:rFonts w:eastAsia="SimSun"/>
          <w:b w:val="0"/>
          <w:sz w:val="22"/>
          <w:lang w:val="en-US" w:eastAsia="zh-CN"/>
        </w:rPr>
        <w:t>Figure 2</w:t>
      </w:r>
      <w:r>
        <w:rPr>
          <w:rFonts w:eastAsia="SimSun"/>
          <w:b w:val="0"/>
          <w:sz w:val="22"/>
          <w:lang w:val="en-US" w:eastAsia="zh-CN"/>
        </w:rPr>
        <w:fldChar w:fldCharType="end"/>
      </w:r>
      <w:r>
        <w:rPr>
          <w:rFonts w:eastAsia="SimSun"/>
          <w:b w:val="0"/>
          <w:sz w:val="22"/>
          <w:lang w:val="en-US" w:eastAsia="zh-CN"/>
        </w:rPr>
        <w:t>.</w:t>
      </w:r>
    </w:p>
    <w:p w14:paraId="434D6929" w14:textId="77777777" w:rsidR="00EC72ED" w:rsidRDefault="00EC72ED" w:rsidP="00EC72ED">
      <w:pPr>
        <w:pStyle w:val="LGTdoc1"/>
        <w:keepNext/>
        <w:spacing w:beforeLines="0" w:before="120" w:after="220" w:afterAutospacing="0"/>
        <w:jc w:val="center"/>
      </w:pPr>
      <w:r>
        <w:rPr>
          <w:rFonts w:eastAsia="SimSun"/>
          <w:sz w:val="22"/>
          <w:lang w:eastAsia="zh-CN"/>
        </w:rPr>
        <w:object w:dxaOrig="7175" w:dyaOrig="9976" w14:anchorId="2EDE8518">
          <v:shape id="_x0000_i1038" type="#_x0000_t75" style="width:461.15pt;height:643.15pt" o:ole="">
            <v:imagedata r:id="rId32" o:title=""/>
          </v:shape>
          <o:OLEObject Type="Embed" ProgID="Visio.Drawing.11" ShapeID="_x0000_i1038" DrawAspect="Content" ObjectID="_1627479176" r:id="rId33"/>
        </w:object>
      </w:r>
    </w:p>
    <w:p w14:paraId="0BC821F0" w14:textId="77777777" w:rsidR="00EC72ED" w:rsidRDefault="00EC72ED" w:rsidP="00EC72ED">
      <w:pPr>
        <w:pStyle w:val="Caption"/>
        <w:jc w:val="center"/>
        <w:rPr>
          <w:b w:val="0"/>
          <w:sz w:val="22"/>
          <w:lang w:eastAsia="zh-CN"/>
        </w:rPr>
      </w:pPr>
      <w:bookmarkStart w:id="4" w:name="_Ref424627596"/>
      <w:r>
        <w:t xml:space="preserve">Figure </w:t>
      </w:r>
      <w:r w:rsidR="007C32B2">
        <w:fldChar w:fldCharType="begin"/>
      </w:r>
      <w:r w:rsidR="007C32B2">
        <w:instrText xml:space="preserve"> SEQ Figure \* ARABIC </w:instrText>
      </w:r>
      <w:r w:rsidR="007C32B2">
        <w:fldChar w:fldCharType="separate"/>
      </w:r>
      <w:r>
        <w:rPr>
          <w:noProof/>
        </w:rPr>
        <w:t>2</w:t>
      </w:r>
      <w:r w:rsidR="007C32B2">
        <w:rPr>
          <w:noProof/>
        </w:rPr>
        <w:fldChar w:fldCharType="end"/>
      </w:r>
      <w:bookmarkEnd w:id="4"/>
      <w:r>
        <w:t xml:space="preserve"> MPDCCH blind decoding processing with PRB bundling and localized tone mapping.</w:t>
      </w:r>
    </w:p>
    <w:p w14:paraId="17CAB813" w14:textId="77777777" w:rsidR="00EC72ED" w:rsidRDefault="00EC72ED" w:rsidP="006B0FB7">
      <w:pPr>
        <w:rPr>
          <w:b/>
          <w:lang w:val="en-US"/>
        </w:rPr>
      </w:pPr>
    </w:p>
    <w:p w14:paraId="57047A1B" w14:textId="77777777" w:rsidR="00EC72ED" w:rsidRDefault="00EC72ED" w:rsidP="006B0FB7">
      <w:pPr>
        <w:rPr>
          <w:b/>
          <w:lang w:val="en-US"/>
        </w:rPr>
      </w:pPr>
    </w:p>
    <w:p w14:paraId="61CD4967" w14:textId="77777777" w:rsidR="00EC72ED" w:rsidRDefault="00EC72ED" w:rsidP="00EC72ED">
      <w:pPr>
        <w:pStyle w:val="Heading1"/>
        <w:jc w:val="both"/>
      </w:pPr>
      <w:r>
        <w:lastRenderedPageBreak/>
        <w:t>References</w:t>
      </w:r>
    </w:p>
    <w:p w14:paraId="1B85EE54" w14:textId="00259873" w:rsidR="00EC72ED" w:rsidRDefault="00EC72ED" w:rsidP="00EC72ED">
      <w:r>
        <w:t xml:space="preserve">[1] </w:t>
      </w:r>
      <w:r w:rsidRPr="00EC72ED">
        <w:t>R1-153846</w:t>
      </w:r>
      <w:r>
        <w:t>, “</w:t>
      </w:r>
      <w:r w:rsidRPr="00EC72ED">
        <w:t>Physical Downlink Control Channels</w:t>
      </w:r>
      <w:r>
        <w:t>”, Qualcomm Incorporated</w:t>
      </w:r>
    </w:p>
    <w:p w14:paraId="3D5612F3" w14:textId="6A8A382D" w:rsidR="00B023EA" w:rsidRDefault="00623635" w:rsidP="00EC72ED">
      <w:r>
        <w:t xml:space="preserve">[2] </w:t>
      </w:r>
      <w:r w:rsidRPr="00623635">
        <w:t>R1-1905961</w:t>
      </w:r>
      <w:r>
        <w:t>, “</w:t>
      </w:r>
      <w:r w:rsidRPr="00623635">
        <w:t>MPDCCH performance improvement in LTE-MTC</w:t>
      </w:r>
      <w:r>
        <w:t>”, Qualcomm Incorporated</w:t>
      </w:r>
    </w:p>
    <w:p w14:paraId="6B6951EC" w14:textId="4278C817" w:rsidR="00B023EA" w:rsidRDefault="00B023EA" w:rsidP="00EC72ED"/>
    <w:p w14:paraId="2EA0EFDA" w14:textId="6F1E3B56" w:rsidR="00B023EA" w:rsidRDefault="00B023EA" w:rsidP="00EC72ED"/>
    <w:sectPr w:rsidR="00B023EA" w:rsidSect="00D64908">
      <w:headerReference w:type="even" r:id="rId34"/>
      <w:footerReference w:type="even" r:id="rId35"/>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5AD98" w14:textId="77777777" w:rsidR="007C32B2" w:rsidRDefault="007C32B2">
      <w:pPr>
        <w:spacing w:after="0"/>
      </w:pPr>
      <w:r>
        <w:separator/>
      </w:r>
    </w:p>
  </w:endnote>
  <w:endnote w:type="continuationSeparator" w:id="0">
    <w:p w14:paraId="6F1DDC48" w14:textId="77777777" w:rsidR="007C32B2" w:rsidRDefault="007C3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62E2"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64546"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E8A7"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44493" w14:textId="77777777" w:rsidR="007C32B2" w:rsidRDefault="007C32B2">
      <w:pPr>
        <w:spacing w:after="0"/>
      </w:pPr>
      <w:r>
        <w:separator/>
      </w:r>
    </w:p>
  </w:footnote>
  <w:footnote w:type="continuationSeparator" w:id="0">
    <w:p w14:paraId="7DE90104" w14:textId="77777777" w:rsidR="007C32B2" w:rsidRDefault="007C32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27B"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9pt;height:15.9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DB7D9E"/>
    <w:multiLevelType w:val="hybridMultilevel"/>
    <w:tmpl w:val="B37E83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E49AA"/>
    <w:multiLevelType w:val="hybridMultilevel"/>
    <w:tmpl w:val="96EA0762"/>
    <w:lvl w:ilvl="0" w:tplc="6FCC509E">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72AAD"/>
    <w:multiLevelType w:val="hybridMultilevel"/>
    <w:tmpl w:val="D7F66F5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8274E"/>
    <w:multiLevelType w:val="hybridMultilevel"/>
    <w:tmpl w:val="42BCB6A4"/>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8E598B"/>
    <w:multiLevelType w:val="hybridMultilevel"/>
    <w:tmpl w:val="07F21328"/>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773A67"/>
    <w:multiLevelType w:val="hybridMultilevel"/>
    <w:tmpl w:val="F77C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825518">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A8D1B2D"/>
    <w:multiLevelType w:val="hybridMultilevel"/>
    <w:tmpl w:val="A7A4B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80145B"/>
    <w:multiLevelType w:val="hybridMultilevel"/>
    <w:tmpl w:val="E5CC4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9776BE"/>
    <w:multiLevelType w:val="hybridMultilevel"/>
    <w:tmpl w:val="5316D26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50431E"/>
    <w:multiLevelType w:val="hybridMultilevel"/>
    <w:tmpl w:val="0E4E2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7C19B8"/>
    <w:multiLevelType w:val="hybridMultilevel"/>
    <w:tmpl w:val="477E3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F3C1B"/>
    <w:multiLevelType w:val="hybridMultilevel"/>
    <w:tmpl w:val="2160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3"/>
  </w:num>
  <w:num w:numId="4">
    <w:abstractNumId w:val="6"/>
  </w:num>
  <w:num w:numId="5">
    <w:abstractNumId w:val="2"/>
  </w:num>
  <w:num w:numId="6">
    <w:abstractNumId w:val="5"/>
  </w:num>
  <w:num w:numId="7">
    <w:abstractNumId w:val="16"/>
  </w:num>
  <w:num w:numId="8">
    <w:abstractNumId w:val="7"/>
  </w:num>
  <w:num w:numId="9">
    <w:abstractNumId w:val="8"/>
  </w:num>
  <w:num w:numId="10">
    <w:abstractNumId w:val="17"/>
  </w:num>
  <w:num w:numId="11">
    <w:abstractNumId w:val="3"/>
  </w:num>
  <w:num w:numId="12">
    <w:abstractNumId w:val="12"/>
  </w:num>
  <w:num w:numId="13">
    <w:abstractNumId w:val="20"/>
  </w:num>
  <w:num w:numId="14">
    <w:abstractNumId w:val="19"/>
  </w:num>
  <w:num w:numId="15">
    <w:abstractNumId w:val="14"/>
  </w:num>
  <w:num w:numId="16">
    <w:abstractNumId w:val="18"/>
  </w:num>
  <w:num w:numId="17">
    <w:abstractNumId w:val="11"/>
  </w:num>
  <w:num w:numId="18">
    <w:abstractNumId w:val="4"/>
  </w:num>
  <w:num w:numId="19">
    <w:abstractNumId w:val="21"/>
  </w:num>
  <w:num w:numId="20">
    <w:abstractNumId w:val="15"/>
  </w:num>
  <w:num w:numId="2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062D"/>
    <w:rsid w:val="00032375"/>
    <w:rsid w:val="00033921"/>
    <w:rsid w:val="00042F52"/>
    <w:rsid w:val="000436C9"/>
    <w:rsid w:val="00043D9B"/>
    <w:rsid w:val="000451AA"/>
    <w:rsid w:val="000477DB"/>
    <w:rsid w:val="000504A9"/>
    <w:rsid w:val="00051B4F"/>
    <w:rsid w:val="0005434E"/>
    <w:rsid w:val="000569DE"/>
    <w:rsid w:val="00056AF3"/>
    <w:rsid w:val="00060B23"/>
    <w:rsid w:val="00061369"/>
    <w:rsid w:val="00061E4E"/>
    <w:rsid w:val="000705C1"/>
    <w:rsid w:val="000724E6"/>
    <w:rsid w:val="000732D4"/>
    <w:rsid w:val="00073455"/>
    <w:rsid w:val="0007399E"/>
    <w:rsid w:val="00080A0B"/>
    <w:rsid w:val="00082649"/>
    <w:rsid w:val="00082878"/>
    <w:rsid w:val="00082F68"/>
    <w:rsid w:val="000830CE"/>
    <w:rsid w:val="0008429A"/>
    <w:rsid w:val="00085808"/>
    <w:rsid w:val="00091034"/>
    <w:rsid w:val="00091C21"/>
    <w:rsid w:val="00093F0E"/>
    <w:rsid w:val="000A2893"/>
    <w:rsid w:val="000A2D8A"/>
    <w:rsid w:val="000A36B5"/>
    <w:rsid w:val="000A6654"/>
    <w:rsid w:val="000A74CA"/>
    <w:rsid w:val="000C1404"/>
    <w:rsid w:val="000C2130"/>
    <w:rsid w:val="000D28DD"/>
    <w:rsid w:val="000D39BA"/>
    <w:rsid w:val="000D3D8C"/>
    <w:rsid w:val="000D40C6"/>
    <w:rsid w:val="000D4F00"/>
    <w:rsid w:val="000E1579"/>
    <w:rsid w:val="000E2517"/>
    <w:rsid w:val="000E40BF"/>
    <w:rsid w:val="000E4C26"/>
    <w:rsid w:val="000F0309"/>
    <w:rsid w:val="000F0C21"/>
    <w:rsid w:val="000F1CA0"/>
    <w:rsid w:val="000F3884"/>
    <w:rsid w:val="00101BF1"/>
    <w:rsid w:val="00105E28"/>
    <w:rsid w:val="001074C3"/>
    <w:rsid w:val="00107B35"/>
    <w:rsid w:val="00110D6B"/>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5DFB"/>
    <w:rsid w:val="00167516"/>
    <w:rsid w:val="00176E75"/>
    <w:rsid w:val="00177C78"/>
    <w:rsid w:val="00180528"/>
    <w:rsid w:val="00180C0A"/>
    <w:rsid w:val="00186AC0"/>
    <w:rsid w:val="00192A4C"/>
    <w:rsid w:val="001A4018"/>
    <w:rsid w:val="001A4D6B"/>
    <w:rsid w:val="001A6ACE"/>
    <w:rsid w:val="001B0F7A"/>
    <w:rsid w:val="001B1F77"/>
    <w:rsid w:val="001B3DAD"/>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58FF"/>
    <w:rsid w:val="002468E3"/>
    <w:rsid w:val="00262AE5"/>
    <w:rsid w:val="00264228"/>
    <w:rsid w:val="00264A5F"/>
    <w:rsid w:val="00270364"/>
    <w:rsid w:val="00271968"/>
    <w:rsid w:val="00273DBD"/>
    <w:rsid w:val="00293595"/>
    <w:rsid w:val="00294D8B"/>
    <w:rsid w:val="00296E4A"/>
    <w:rsid w:val="002A19EA"/>
    <w:rsid w:val="002A3D21"/>
    <w:rsid w:val="002A4C06"/>
    <w:rsid w:val="002B1A75"/>
    <w:rsid w:val="002B22E2"/>
    <w:rsid w:val="002B32F0"/>
    <w:rsid w:val="002B58C6"/>
    <w:rsid w:val="002B6183"/>
    <w:rsid w:val="002C16A9"/>
    <w:rsid w:val="002C412D"/>
    <w:rsid w:val="002C6D20"/>
    <w:rsid w:val="002C6F0F"/>
    <w:rsid w:val="002D1C6C"/>
    <w:rsid w:val="002D2EAF"/>
    <w:rsid w:val="002D3BDF"/>
    <w:rsid w:val="002D3EDF"/>
    <w:rsid w:val="002D5B01"/>
    <w:rsid w:val="002D6863"/>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62D48"/>
    <w:rsid w:val="003632D2"/>
    <w:rsid w:val="003632E7"/>
    <w:rsid w:val="003707F8"/>
    <w:rsid w:val="00371EF2"/>
    <w:rsid w:val="003759A6"/>
    <w:rsid w:val="00375DDB"/>
    <w:rsid w:val="0037605F"/>
    <w:rsid w:val="00384057"/>
    <w:rsid w:val="00384D94"/>
    <w:rsid w:val="0038632E"/>
    <w:rsid w:val="003903F9"/>
    <w:rsid w:val="00395EFD"/>
    <w:rsid w:val="003962D7"/>
    <w:rsid w:val="00397142"/>
    <w:rsid w:val="00397A3C"/>
    <w:rsid w:val="003A486A"/>
    <w:rsid w:val="003A6075"/>
    <w:rsid w:val="003A663F"/>
    <w:rsid w:val="003A6AF9"/>
    <w:rsid w:val="003A7129"/>
    <w:rsid w:val="003A7839"/>
    <w:rsid w:val="003B3451"/>
    <w:rsid w:val="003B5170"/>
    <w:rsid w:val="003B6EE7"/>
    <w:rsid w:val="003B7A74"/>
    <w:rsid w:val="003C0CBB"/>
    <w:rsid w:val="003C2394"/>
    <w:rsid w:val="003C24EB"/>
    <w:rsid w:val="003D073B"/>
    <w:rsid w:val="003D0AF6"/>
    <w:rsid w:val="003D5166"/>
    <w:rsid w:val="003D60B0"/>
    <w:rsid w:val="003D6E0F"/>
    <w:rsid w:val="003D7A21"/>
    <w:rsid w:val="003E110C"/>
    <w:rsid w:val="003F03CD"/>
    <w:rsid w:val="003F0EB5"/>
    <w:rsid w:val="003F33A8"/>
    <w:rsid w:val="004047D2"/>
    <w:rsid w:val="004068B5"/>
    <w:rsid w:val="00410919"/>
    <w:rsid w:val="00411978"/>
    <w:rsid w:val="004138B8"/>
    <w:rsid w:val="00414BBC"/>
    <w:rsid w:val="004169A7"/>
    <w:rsid w:val="004215FD"/>
    <w:rsid w:val="00422BD5"/>
    <w:rsid w:val="00424654"/>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81A"/>
    <w:rsid w:val="00456898"/>
    <w:rsid w:val="00456B03"/>
    <w:rsid w:val="00461FEA"/>
    <w:rsid w:val="00464B05"/>
    <w:rsid w:val="00465975"/>
    <w:rsid w:val="00465B3C"/>
    <w:rsid w:val="00472CC8"/>
    <w:rsid w:val="0047407C"/>
    <w:rsid w:val="004745B4"/>
    <w:rsid w:val="00481796"/>
    <w:rsid w:val="004910A6"/>
    <w:rsid w:val="0049116E"/>
    <w:rsid w:val="0049404B"/>
    <w:rsid w:val="00495C48"/>
    <w:rsid w:val="00495ED1"/>
    <w:rsid w:val="00497A8F"/>
    <w:rsid w:val="004A1C28"/>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B90"/>
    <w:rsid w:val="00531FEA"/>
    <w:rsid w:val="0054039E"/>
    <w:rsid w:val="00540793"/>
    <w:rsid w:val="005422B7"/>
    <w:rsid w:val="00553831"/>
    <w:rsid w:val="00560454"/>
    <w:rsid w:val="00562129"/>
    <w:rsid w:val="0056364E"/>
    <w:rsid w:val="005649C8"/>
    <w:rsid w:val="00565FC7"/>
    <w:rsid w:val="005674BE"/>
    <w:rsid w:val="00574BA6"/>
    <w:rsid w:val="005803CA"/>
    <w:rsid w:val="005811D3"/>
    <w:rsid w:val="00582AB4"/>
    <w:rsid w:val="00585EAB"/>
    <w:rsid w:val="00585F17"/>
    <w:rsid w:val="00591C53"/>
    <w:rsid w:val="00592F47"/>
    <w:rsid w:val="005940BD"/>
    <w:rsid w:val="00595AB9"/>
    <w:rsid w:val="00596D68"/>
    <w:rsid w:val="005976C2"/>
    <w:rsid w:val="005A0670"/>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3635"/>
    <w:rsid w:val="006256B1"/>
    <w:rsid w:val="00631434"/>
    <w:rsid w:val="006351C6"/>
    <w:rsid w:val="00647161"/>
    <w:rsid w:val="00651188"/>
    <w:rsid w:val="00652888"/>
    <w:rsid w:val="00655255"/>
    <w:rsid w:val="006570EE"/>
    <w:rsid w:val="00660055"/>
    <w:rsid w:val="006645F1"/>
    <w:rsid w:val="00667109"/>
    <w:rsid w:val="00667CD8"/>
    <w:rsid w:val="0067152C"/>
    <w:rsid w:val="00671DB6"/>
    <w:rsid w:val="00673552"/>
    <w:rsid w:val="00673B0B"/>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0FB7"/>
    <w:rsid w:val="006B44EA"/>
    <w:rsid w:val="006B5B10"/>
    <w:rsid w:val="006C1CDD"/>
    <w:rsid w:val="006C6C34"/>
    <w:rsid w:val="006C7D13"/>
    <w:rsid w:val="006D402F"/>
    <w:rsid w:val="006D4449"/>
    <w:rsid w:val="006E117D"/>
    <w:rsid w:val="006E1225"/>
    <w:rsid w:val="006E187C"/>
    <w:rsid w:val="006E1B37"/>
    <w:rsid w:val="006E798C"/>
    <w:rsid w:val="006F0EAD"/>
    <w:rsid w:val="006F3295"/>
    <w:rsid w:val="006F41D6"/>
    <w:rsid w:val="007064F7"/>
    <w:rsid w:val="00711F63"/>
    <w:rsid w:val="00712ACF"/>
    <w:rsid w:val="00714376"/>
    <w:rsid w:val="00714A88"/>
    <w:rsid w:val="007157B2"/>
    <w:rsid w:val="00715B6C"/>
    <w:rsid w:val="00723C1D"/>
    <w:rsid w:val="00725D1E"/>
    <w:rsid w:val="0072618F"/>
    <w:rsid w:val="007263E9"/>
    <w:rsid w:val="00726D80"/>
    <w:rsid w:val="007309A5"/>
    <w:rsid w:val="00731A8B"/>
    <w:rsid w:val="007352D2"/>
    <w:rsid w:val="007418D3"/>
    <w:rsid w:val="00747AEF"/>
    <w:rsid w:val="00750C06"/>
    <w:rsid w:val="00752727"/>
    <w:rsid w:val="00753DB3"/>
    <w:rsid w:val="007609F3"/>
    <w:rsid w:val="007609FC"/>
    <w:rsid w:val="0076181A"/>
    <w:rsid w:val="00764E0B"/>
    <w:rsid w:val="007663F3"/>
    <w:rsid w:val="00770605"/>
    <w:rsid w:val="0077079A"/>
    <w:rsid w:val="0077342F"/>
    <w:rsid w:val="00776F0F"/>
    <w:rsid w:val="007818AD"/>
    <w:rsid w:val="0078390E"/>
    <w:rsid w:val="007855C4"/>
    <w:rsid w:val="007858BD"/>
    <w:rsid w:val="0078602E"/>
    <w:rsid w:val="00786F2C"/>
    <w:rsid w:val="00787EC0"/>
    <w:rsid w:val="00792605"/>
    <w:rsid w:val="00794A45"/>
    <w:rsid w:val="007A63C4"/>
    <w:rsid w:val="007B4782"/>
    <w:rsid w:val="007B4938"/>
    <w:rsid w:val="007B6AE7"/>
    <w:rsid w:val="007C2A28"/>
    <w:rsid w:val="007C32B2"/>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29D2"/>
    <w:rsid w:val="008304D8"/>
    <w:rsid w:val="00831767"/>
    <w:rsid w:val="008343C9"/>
    <w:rsid w:val="0083685F"/>
    <w:rsid w:val="00837351"/>
    <w:rsid w:val="00843A94"/>
    <w:rsid w:val="0086634A"/>
    <w:rsid w:val="00866395"/>
    <w:rsid w:val="00874D6E"/>
    <w:rsid w:val="008834B3"/>
    <w:rsid w:val="008867AB"/>
    <w:rsid w:val="00893E0B"/>
    <w:rsid w:val="008A5212"/>
    <w:rsid w:val="008A6450"/>
    <w:rsid w:val="008B6E38"/>
    <w:rsid w:val="008B788F"/>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04FDA"/>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158E"/>
    <w:rsid w:val="00964DEB"/>
    <w:rsid w:val="00966BD7"/>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119F"/>
    <w:rsid w:val="009E407B"/>
    <w:rsid w:val="009F4E73"/>
    <w:rsid w:val="009F6897"/>
    <w:rsid w:val="00A14B05"/>
    <w:rsid w:val="00A16B58"/>
    <w:rsid w:val="00A208D5"/>
    <w:rsid w:val="00A22268"/>
    <w:rsid w:val="00A23B92"/>
    <w:rsid w:val="00A23DAC"/>
    <w:rsid w:val="00A27F26"/>
    <w:rsid w:val="00A36291"/>
    <w:rsid w:val="00A377CC"/>
    <w:rsid w:val="00A41176"/>
    <w:rsid w:val="00A41538"/>
    <w:rsid w:val="00A42294"/>
    <w:rsid w:val="00A5342B"/>
    <w:rsid w:val="00A55BF8"/>
    <w:rsid w:val="00A5681F"/>
    <w:rsid w:val="00A569C5"/>
    <w:rsid w:val="00A63C92"/>
    <w:rsid w:val="00A64E05"/>
    <w:rsid w:val="00A66680"/>
    <w:rsid w:val="00A67C85"/>
    <w:rsid w:val="00A70A46"/>
    <w:rsid w:val="00A71E35"/>
    <w:rsid w:val="00A74D3D"/>
    <w:rsid w:val="00A76814"/>
    <w:rsid w:val="00A82A8C"/>
    <w:rsid w:val="00A87BE7"/>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23EA"/>
    <w:rsid w:val="00B03A25"/>
    <w:rsid w:val="00B0412E"/>
    <w:rsid w:val="00B057A4"/>
    <w:rsid w:val="00B05B62"/>
    <w:rsid w:val="00B070D1"/>
    <w:rsid w:val="00B10EF5"/>
    <w:rsid w:val="00B110F2"/>
    <w:rsid w:val="00B152DC"/>
    <w:rsid w:val="00B167B7"/>
    <w:rsid w:val="00B17391"/>
    <w:rsid w:val="00B2044C"/>
    <w:rsid w:val="00B20C2F"/>
    <w:rsid w:val="00B31D38"/>
    <w:rsid w:val="00B321CF"/>
    <w:rsid w:val="00B337C5"/>
    <w:rsid w:val="00B33963"/>
    <w:rsid w:val="00B340F0"/>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3242"/>
    <w:rsid w:val="00B84F22"/>
    <w:rsid w:val="00B859AF"/>
    <w:rsid w:val="00B92255"/>
    <w:rsid w:val="00B9340E"/>
    <w:rsid w:val="00BA13AF"/>
    <w:rsid w:val="00BA1A1D"/>
    <w:rsid w:val="00BA7044"/>
    <w:rsid w:val="00BB2611"/>
    <w:rsid w:val="00BB2FAB"/>
    <w:rsid w:val="00BB59C8"/>
    <w:rsid w:val="00BB6E4D"/>
    <w:rsid w:val="00BB7138"/>
    <w:rsid w:val="00BB79C8"/>
    <w:rsid w:val="00BC2AE4"/>
    <w:rsid w:val="00BC3C96"/>
    <w:rsid w:val="00BC41F6"/>
    <w:rsid w:val="00BC51A3"/>
    <w:rsid w:val="00BD0AE1"/>
    <w:rsid w:val="00BD0CB5"/>
    <w:rsid w:val="00BD5140"/>
    <w:rsid w:val="00BD78FD"/>
    <w:rsid w:val="00BE3897"/>
    <w:rsid w:val="00BF12F6"/>
    <w:rsid w:val="00BF16B6"/>
    <w:rsid w:val="00BF4CF6"/>
    <w:rsid w:val="00BF568A"/>
    <w:rsid w:val="00C020C6"/>
    <w:rsid w:val="00C03651"/>
    <w:rsid w:val="00C04363"/>
    <w:rsid w:val="00C06C21"/>
    <w:rsid w:val="00C07862"/>
    <w:rsid w:val="00C11FE9"/>
    <w:rsid w:val="00C14D3F"/>
    <w:rsid w:val="00C17D80"/>
    <w:rsid w:val="00C207E9"/>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86DF2"/>
    <w:rsid w:val="00C91A36"/>
    <w:rsid w:val="00C91A97"/>
    <w:rsid w:val="00C947FC"/>
    <w:rsid w:val="00CB09B5"/>
    <w:rsid w:val="00CB4C69"/>
    <w:rsid w:val="00CC7F46"/>
    <w:rsid w:val="00CD14BF"/>
    <w:rsid w:val="00CD17D3"/>
    <w:rsid w:val="00CD3E34"/>
    <w:rsid w:val="00CD44A9"/>
    <w:rsid w:val="00CE2C2C"/>
    <w:rsid w:val="00CE3E8C"/>
    <w:rsid w:val="00CE7252"/>
    <w:rsid w:val="00CE7295"/>
    <w:rsid w:val="00CF13CC"/>
    <w:rsid w:val="00CF20C8"/>
    <w:rsid w:val="00CF2DA1"/>
    <w:rsid w:val="00CF3432"/>
    <w:rsid w:val="00CF4F2A"/>
    <w:rsid w:val="00D05ED5"/>
    <w:rsid w:val="00D061C4"/>
    <w:rsid w:val="00D17161"/>
    <w:rsid w:val="00D21246"/>
    <w:rsid w:val="00D21CBB"/>
    <w:rsid w:val="00D23477"/>
    <w:rsid w:val="00D2517F"/>
    <w:rsid w:val="00D336AF"/>
    <w:rsid w:val="00D33C2B"/>
    <w:rsid w:val="00D4049E"/>
    <w:rsid w:val="00D42C77"/>
    <w:rsid w:val="00D47770"/>
    <w:rsid w:val="00D532A9"/>
    <w:rsid w:val="00D54D39"/>
    <w:rsid w:val="00D56057"/>
    <w:rsid w:val="00D565B1"/>
    <w:rsid w:val="00D60997"/>
    <w:rsid w:val="00D64908"/>
    <w:rsid w:val="00D67076"/>
    <w:rsid w:val="00D71E2B"/>
    <w:rsid w:val="00D75632"/>
    <w:rsid w:val="00D76244"/>
    <w:rsid w:val="00D770FE"/>
    <w:rsid w:val="00D80293"/>
    <w:rsid w:val="00D81830"/>
    <w:rsid w:val="00D818B2"/>
    <w:rsid w:val="00D837D9"/>
    <w:rsid w:val="00D87E4C"/>
    <w:rsid w:val="00D91455"/>
    <w:rsid w:val="00D943F9"/>
    <w:rsid w:val="00D9689C"/>
    <w:rsid w:val="00D97118"/>
    <w:rsid w:val="00DA0EBA"/>
    <w:rsid w:val="00DA439F"/>
    <w:rsid w:val="00DA4BED"/>
    <w:rsid w:val="00DB2B36"/>
    <w:rsid w:val="00DB32EB"/>
    <w:rsid w:val="00DB4B8F"/>
    <w:rsid w:val="00DB6E10"/>
    <w:rsid w:val="00DB6E65"/>
    <w:rsid w:val="00DC597C"/>
    <w:rsid w:val="00DD5E7D"/>
    <w:rsid w:val="00DE0754"/>
    <w:rsid w:val="00DE12AC"/>
    <w:rsid w:val="00DF4042"/>
    <w:rsid w:val="00DF541A"/>
    <w:rsid w:val="00DF767D"/>
    <w:rsid w:val="00E0331D"/>
    <w:rsid w:val="00E06E11"/>
    <w:rsid w:val="00E10C1D"/>
    <w:rsid w:val="00E23197"/>
    <w:rsid w:val="00E2402F"/>
    <w:rsid w:val="00E2463A"/>
    <w:rsid w:val="00E300FD"/>
    <w:rsid w:val="00E30683"/>
    <w:rsid w:val="00E3220D"/>
    <w:rsid w:val="00E332BD"/>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77A07"/>
    <w:rsid w:val="00E80509"/>
    <w:rsid w:val="00E83097"/>
    <w:rsid w:val="00E935F4"/>
    <w:rsid w:val="00E93CE0"/>
    <w:rsid w:val="00E94BC8"/>
    <w:rsid w:val="00E96DDC"/>
    <w:rsid w:val="00EA267D"/>
    <w:rsid w:val="00EA4E6E"/>
    <w:rsid w:val="00EB32DB"/>
    <w:rsid w:val="00EC22D6"/>
    <w:rsid w:val="00EC72ED"/>
    <w:rsid w:val="00ED78E4"/>
    <w:rsid w:val="00EE6693"/>
    <w:rsid w:val="00EE7B69"/>
    <w:rsid w:val="00EF0F78"/>
    <w:rsid w:val="00EF1488"/>
    <w:rsid w:val="00EF285E"/>
    <w:rsid w:val="00EF50BA"/>
    <w:rsid w:val="00F01116"/>
    <w:rsid w:val="00F10C80"/>
    <w:rsid w:val="00F12C48"/>
    <w:rsid w:val="00F147D8"/>
    <w:rsid w:val="00F1662F"/>
    <w:rsid w:val="00F20A08"/>
    <w:rsid w:val="00F20BF5"/>
    <w:rsid w:val="00F21A84"/>
    <w:rsid w:val="00F21FF1"/>
    <w:rsid w:val="00F31723"/>
    <w:rsid w:val="00F352A7"/>
    <w:rsid w:val="00F36905"/>
    <w:rsid w:val="00F37706"/>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517D"/>
    <w:rsid w:val="00F87982"/>
    <w:rsid w:val="00F90138"/>
    <w:rsid w:val="00F93620"/>
    <w:rsid w:val="00F9626D"/>
    <w:rsid w:val="00F96A71"/>
    <w:rsid w:val="00FA27C1"/>
    <w:rsid w:val="00FA3A85"/>
    <w:rsid w:val="00FA4E87"/>
    <w:rsid w:val="00FB3C30"/>
    <w:rsid w:val="00FB5968"/>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D633"/>
  <w15:chartTrackingRefBased/>
  <w15:docId w15:val="{87B1F36A-E0C5-4C02-A355-D182CBCE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304D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unhideWhenUsed/>
    <w:qFormat/>
    <w:rsid w:val="00915981"/>
  </w:style>
  <w:style w:type="character" w:customStyle="1" w:styleId="CommentTextChar">
    <w:name w:val="Comment Text Char"/>
    <w:link w:val="CommentText"/>
    <w:uiPriority w:val="99"/>
    <w:qFormat/>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061369"/>
    <w:pPr>
      <w:spacing w:after="120"/>
    </w:pPr>
    <w:rPr>
      <w:rFonts w:ascii="Arial" w:hAnsi="Arial"/>
      <w:lang w:val="en-GB"/>
    </w:rPr>
  </w:style>
  <w:style w:type="character" w:customStyle="1" w:styleId="Heading3Char">
    <w:name w:val="Heading 3 Char"/>
    <w:link w:val="Heading3"/>
    <w:uiPriority w:val="9"/>
    <w:rsid w:val="008304D8"/>
    <w:rPr>
      <w:rFonts w:ascii="Calibri Light" w:eastAsia="Times New Roman" w:hAnsi="Calibri Light" w:cs="Times New Roman"/>
      <w:b/>
      <w:bCs/>
      <w:sz w:val="26"/>
      <w:szCs w:val="26"/>
      <w:lang w:val="en-GB"/>
    </w:rPr>
  </w:style>
  <w:style w:type="paragraph" w:customStyle="1" w:styleId="LGTdoc1">
    <w:name w:val="LGTdoc_제목1"/>
    <w:basedOn w:val="Normal"/>
    <w:rsid w:val="00EC72ED"/>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CRCoverPageZchn">
    <w:name w:val="CR Cover Page Zchn"/>
    <w:link w:val="CRCoverPage"/>
    <w:locked/>
    <w:rsid w:val="0008264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9085526">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02853521">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0426662">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53909535">
      <w:bodyDiv w:val="1"/>
      <w:marLeft w:val="0"/>
      <w:marRight w:val="0"/>
      <w:marTop w:val="0"/>
      <w:marBottom w:val="0"/>
      <w:divBdr>
        <w:top w:val="none" w:sz="0" w:space="0" w:color="auto"/>
        <w:left w:val="none" w:sz="0" w:space="0" w:color="auto"/>
        <w:bottom w:val="none" w:sz="0" w:space="0" w:color="auto"/>
        <w:right w:val="none" w:sz="0" w:space="0" w:color="auto"/>
      </w:divBdr>
    </w:div>
    <w:div w:id="46347061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11379143">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42706035">
      <w:bodyDiv w:val="1"/>
      <w:marLeft w:val="0"/>
      <w:marRight w:val="0"/>
      <w:marTop w:val="0"/>
      <w:marBottom w:val="0"/>
      <w:divBdr>
        <w:top w:val="none" w:sz="0" w:space="0" w:color="auto"/>
        <w:left w:val="none" w:sz="0" w:space="0" w:color="auto"/>
        <w:bottom w:val="none" w:sz="0" w:space="0" w:color="auto"/>
        <w:right w:val="none" w:sz="0" w:space="0" w:color="auto"/>
      </w:divBdr>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08454753">
      <w:bodyDiv w:val="1"/>
      <w:marLeft w:val="0"/>
      <w:marRight w:val="0"/>
      <w:marTop w:val="0"/>
      <w:marBottom w:val="0"/>
      <w:divBdr>
        <w:top w:val="none" w:sz="0" w:space="0" w:color="auto"/>
        <w:left w:val="none" w:sz="0" w:space="0" w:color="auto"/>
        <w:bottom w:val="none" w:sz="0" w:space="0" w:color="auto"/>
        <w:right w:val="none" w:sz="0" w:space="0" w:color="auto"/>
      </w:divBdr>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B4D14-3036-4FF5-81AD-C4AE3476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2086</Words>
  <Characters>11893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10</cp:revision>
  <dcterms:created xsi:type="dcterms:W3CDTF">2019-08-15T23:31:00Z</dcterms:created>
  <dcterms:modified xsi:type="dcterms:W3CDTF">2019-08-16T23:10:00Z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